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9A" w:rsidRDefault="0071379A">
      <w:pPr>
        <w:jc w:val="both"/>
      </w:pPr>
      <w:bookmarkStart w:id="0" w:name="_GoBack"/>
      <w:bookmarkEnd w:id="0"/>
    </w:p>
    <w:p w:rsidR="007A278F" w:rsidRDefault="007A278F">
      <w:pPr>
        <w:jc w:val="both"/>
      </w:pPr>
    </w:p>
    <w:p w:rsidR="0071379A" w:rsidRDefault="00566C44">
      <w:pPr>
        <w:pStyle w:val="Titre1"/>
        <w:rPr>
          <w:sz w:val="24"/>
        </w:rPr>
      </w:pPr>
      <w:r>
        <w:rPr>
          <w:sz w:val="24"/>
        </w:rPr>
        <w:t>P</w:t>
      </w:r>
      <w:r w:rsidR="00CD2C92">
        <w:rPr>
          <w:sz w:val="24"/>
        </w:rPr>
        <w:t xml:space="preserve">résentation de la méthodologie sur les créances </w:t>
      </w:r>
      <w:r w:rsidR="00E65A07">
        <w:rPr>
          <w:sz w:val="24"/>
        </w:rPr>
        <w:t>bancaires</w:t>
      </w:r>
      <w:r w:rsidR="00CD2C92">
        <w:rPr>
          <w:sz w:val="24"/>
        </w:rPr>
        <w:t xml:space="preserve"> consolidées</w:t>
      </w:r>
    </w:p>
    <w:p w:rsidR="0071379A" w:rsidRDefault="0071379A">
      <w:pPr>
        <w:jc w:val="both"/>
      </w:pPr>
    </w:p>
    <w:p w:rsidR="00415CE7" w:rsidRDefault="00415CE7" w:rsidP="00CD2C92">
      <w:pPr>
        <w:ind w:left="708"/>
        <w:jc w:val="both"/>
      </w:pPr>
    </w:p>
    <w:p w:rsidR="00B53501" w:rsidRDefault="006B473C" w:rsidP="00B53501">
      <w:pPr>
        <w:ind w:firstLine="708"/>
        <w:jc w:val="both"/>
      </w:pPr>
      <w:r>
        <w:t xml:space="preserve">Les statistiques </w:t>
      </w:r>
      <w:r w:rsidR="00190673">
        <w:t>sur les</w:t>
      </w:r>
      <w:r>
        <w:t xml:space="preserve"> créances consolidées des banques françaises </w:t>
      </w:r>
      <w:r w:rsidR="00B53501">
        <w:t xml:space="preserve">- </w:t>
      </w:r>
      <w:r w:rsidR="004349EE">
        <w:t xml:space="preserve">à capitaux domestiques ou non </w:t>
      </w:r>
      <w:r w:rsidR="00B53501">
        <w:t xml:space="preserve">- </w:t>
      </w:r>
      <w:r>
        <w:t xml:space="preserve">sont établies par </w:t>
      </w:r>
      <w:smartTag w:uri="urn:schemas-microsoft-com:office:smarttags" w:element="PersonName">
        <w:smartTagPr>
          <w:attr w:name="ProductID" w:val="la Direction"/>
        </w:smartTagPr>
        <w:r>
          <w:t>la Direction</w:t>
        </w:r>
      </w:smartTag>
      <w:r>
        <w:t xml:space="preserve"> de </w:t>
      </w:r>
      <w:smartTag w:uri="urn:schemas-microsoft-com:office:smarttags" w:element="PersonName">
        <w:smartTagPr>
          <w:attr w:name="ProductID" w:val="La Balance"/>
        </w:smartTagPr>
        <w:r>
          <w:t>la Balance</w:t>
        </w:r>
      </w:smartTag>
      <w:r>
        <w:t xml:space="preserve"> des paiements de </w:t>
      </w:r>
      <w:smartTag w:uri="urn:schemas-microsoft-com:office:smarttags" w:element="PersonName">
        <w:smartTagPr>
          <w:attr w:name="ProductID" w:val="la Banque"/>
        </w:smartTagPr>
        <w:r>
          <w:t>la Banque</w:t>
        </w:r>
      </w:smartTag>
      <w:r>
        <w:t xml:space="preserve"> de France pour le compte de </w:t>
      </w:r>
      <w:smartTag w:uri="urn:schemas-microsoft-com:office:smarttags" w:element="PersonName">
        <w:smartTagPr>
          <w:attr w:name="ProductID" w:val="la Banque"/>
        </w:smartTagPr>
        <w:r>
          <w:t>la Banque</w:t>
        </w:r>
      </w:smartTag>
      <w:r>
        <w:t xml:space="preserve"> des Règlements Internationaux (BRI). Elles entrent dans le calcul des créances </w:t>
      </w:r>
      <w:r w:rsidR="00190673">
        <w:t xml:space="preserve">bancaires </w:t>
      </w:r>
      <w:r>
        <w:t xml:space="preserve">consolidées publiées chaque trimestre par </w:t>
      </w:r>
      <w:smartTag w:uri="urn:schemas-microsoft-com:office:smarttags" w:element="PersonName">
        <w:smartTagPr>
          <w:attr w:name="ProductID" w:val="la BRI"/>
        </w:smartTagPr>
        <w:r>
          <w:t>la BRI</w:t>
        </w:r>
      </w:smartTag>
      <w:r>
        <w:t xml:space="preserve"> (et disponible à l’adresse suivante </w:t>
      </w:r>
      <w:hyperlink r:id="rId9" w:history="1">
        <w:r w:rsidR="00B53501" w:rsidRPr="00F01C2B">
          <w:rPr>
            <w:rStyle w:val="Lienhypertexte"/>
          </w:rPr>
          <w:t>http://www.bis.org/statistics/consstats.htm</w:t>
        </w:r>
      </w:hyperlink>
      <w:r w:rsidR="00B53501">
        <w:t>).</w:t>
      </w:r>
    </w:p>
    <w:p w:rsidR="00B53501" w:rsidRDefault="005C58B3" w:rsidP="008334A0">
      <w:pPr>
        <w:ind w:firstLine="708"/>
        <w:jc w:val="both"/>
      </w:pPr>
      <w:smartTag w:uri="urn:schemas-microsoft-com:office:smarttags" w:element="PersonName">
        <w:smartTagPr>
          <w:attr w:name="ProductID" w:val="La France"/>
        </w:smartTagPr>
        <w:r>
          <w:t>La France</w:t>
        </w:r>
      </w:smartTag>
      <w:r>
        <w:t xml:space="preserve"> participe à cet exercice depuis sa création en 1983. </w:t>
      </w:r>
      <w:r w:rsidR="002B693C">
        <w:t xml:space="preserve">Les statistiques bancaires consolidées sont </w:t>
      </w:r>
      <w:r w:rsidR="009065A2">
        <w:t>diffusées</w:t>
      </w:r>
      <w:r w:rsidR="002B693C">
        <w:t xml:space="preserve"> </w:t>
      </w:r>
      <w:r w:rsidR="009065A2">
        <w:t xml:space="preserve">trimestriellement </w:t>
      </w:r>
      <w:r w:rsidR="002B693C">
        <w:t>depuis juin 2003.</w:t>
      </w:r>
      <w:r w:rsidR="002559E5">
        <w:t xml:space="preserve"> </w:t>
      </w:r>
      <w:r w:rsidR="00576C95">
        <w:t xml:space="preserve">La Banque de France diffuse </w:t>
      </w:r>
      <w:r w:rsidR="003B3849">
        <w:t xml:space="preserve">directement </w:t>
      </w:r>
      <w:r w:rsidR="002559E5">
        <w:t>sur son site internet</w:t>
      </w:r>
      <w:r w:rsidR="003B3849" w:rsidRPr="003B3849">
        <w:t xml:space="preserve"> </w:t>
      </w:r>
      <w:r w:rsidR="003B3849">
        <w:t xml:space="preserve">deux </w:t>
      </w:r>
      <w:r>
        <w:t xml:space="preserve">tableaux extraits des séries </w:t>
      </w:r>
      <w:r w:rsidR="003B3849">
        <w:t xml:space="preserve">élaborées pour la BRI, à savoir les créances </w:t>
      </w:r>
      <w:r w:rsidR="003C7106">
        <w:t>sur l’étranger</w:t>
      </w:r>
      <w:r w:rsidR="003B3849">
        <w:t xml:space="preserve"> </w:t>
      </w:r>
      <w:r w:rsidR="00F86931">
        <w:t xml:space="preserve">en contrepartie immédiate et en </w:t>
      </w:r>
      <w:r w:rsidR="003B3849">
        <w:t>risque ultime</w:t>
      </w:r>
      <w:r>
        <w:rPr>
          <w:rStyle w:val="Appelnotedebasdep"/>
        </w:rPr>
        <w:footnoteReference w:id="1"/>
      </w:r>
      <w:r w:rsidR="00B53501">
        <w:t xml:space="preserve"> (et disponible à l’adresse suivante </w:t>
      </w:r>
      <w:hyperlink r:id="rId10" w:history="1">
        <w:r w:rsidR="008334A0" w:rsidRPr="009870AA">
          <w:rPr>
            <w:rStyle w:val="Lienhypertexte"/>
          </w:rPr>
          <w:t>www.banque-france.fr/fr/statistiques/activite/activite-bancaire.htm</w:t>
        </w:r>
      </w:hyperlink>
      <w:r w:rsidR="00B53501">
        <w:t>)</w:t>
      </w:r>
    </w:p>
    <w:p w:rsidR="00B53501" w:rsidRDefault="00B53501" w:rsidP="005C58B3">
      <w:pPr>
        <w:ind w:firstLine="708"/>
        <w:jc w:val="both"/>
      </w:pPr>
    </w:p>
    <w:p w:rsidR="005C58B3" w:rsidRDefault="005C58B3" w:rsidP="005C58B3">
      <w:pPr>
        <w:ind w:firstLine="708"/>
        <w:jc w:val="both"/>
      </w:pPr>
      <w:smartTag w:uri="urn:schemas-microsoft-com:office:smarttags" w:element="PersonName">
        <w:smartTagPr>
          <w:attr w:name="ProductID" w:val="la BRI"/>
        </w:smartTagPr>
        <w:r>
          <w:t>La BRI</w:t>
        </w:r>
      </w:smartTag>
      <w:r>
        <w:t xml:space="preserve"> publie sur son site internet (</w:t>
      </w:r>
      <w:hyperlink r:id="rId11" w:history="1">
        <w:r w:rsidRPr="00EB31E3">
          <w:rPr>
            <w:rStyle w:val="Lienhypertexte"/>
          </w:rPr>
          <w:t>http://www.bis.org/statistics/consbankstatsguide.htm</w:t>
        </w:r>
      </w:hyperlink>
      <w:r>
        <w:t>) une méthodologie détaillée.</w:t>
      </w:r>
    </w:p>
    <w:p w:rsidR="006B473C" w:rsidRDefault="006B473C" w:rsidP="006B473C">
      <w:pPr>
        <w:ind w:firstLine="708"/>
        <w:jc w:val="both"/>
      </w:pPr>
      <w:r>
        <w:t>Trente pays</w:t>
      </w:r>
      <w:r w:rsidR="006E417E">
        <w:rPr>
          <w:rStyle w:val="Appelnotedebasdep"/>
        </w:rPr>
        <w:footnoteReference w:id="2"/>
      </w:r>
      <w:r>
        <w:t xml:space="preserve"> participent actuellement à l’enquête </w:t>
      </w:r>
      <w:r w:rsidR="00FE6BDA" w:rsidRPr="00FE6BDA">
        <w:rPr>
          <w:i/>
        </w:rPr>
        <w:t>Consolidated banking statistics</w:t>
      </w:r>
      <w:r w:rsidR="00FE6BDA">
        <w:t xml:space="preserve"> </w:t>
      </w:r>
      <w:r>
        <w:t xml:space="preserve">de la </w:t>
      </w:r>
      <w:r w:rsidR="0073028E">
        <w:t>BRI</w:t>
      </w:r>
      <w:r w:rsidR="00FE6BDA">
        <w:t>.</w:t>
      </w:r>
    </w:p>
    <w:p w:rsidR="008334A0" w:rsidRDefault="008334A0" w:rsidP="006B473C">
      <w:pPr>
        <w:ind w:firstLine="708"/>
        <w:jc w:val="both"/>
      </w:pPr>
    </w:p>
    <w:p w:rsidR="00BD3FA7" w:rsidRPr="00BD3FA7" w:rsidRDefault="00BD3FA7" w:rsidP="005B0FA9">
      <w:pPr>
        <w:ind w:firstLine="708"/>
        <w:jc w:val="both"/>
        <w:rPr>
          <w:b/>
          <w:i/>
          <w:u w:val="single"/>
        </w:rPr>
      </w:pPr>
      <w:r w:rsidRPr="00BD3FA7">
        <w:rPr>
          <w:b/>
          <w:i/>
          <w:u w:val="single"/>
        </w:rPr>
        <w:t>Les banques déclarantes</w:t>
      </w:r>
    </w:p>
    <w:p w:rsidR="00BD3FA7" w:rsidRDefault="00BD3FA7" w:rsidP="005B0FA9">
      <w:pPr>
        <w:ind w:firstLine="708"/>
        <w:jc w:val="both"/>
      </w:pPr>
    </w:p>
    <w:p w:rsidR="005B0FA9" w:rsidRDefault="00CF7130" w:rsidP="005B0FA9">
      <w:pPr>
        <w:ind w:firstLine="708"/>
        <w:jc w:val="both"/>
      </w:pPr>
      <w:r>
        <w:t>L</w:t>
      </w:r>
      <w:r w:rsidR="005B0FA9">
        <w:t xml:space="preserve">es </w:t>
      </w:r>
      <w:r w:rsidR="005B0FA9" w:rsidRPr="008F4C8B">
        <w:rPr>
          <w:b/>
        </w:rPr>
        <w:t xml:space="preserve">banques </w:t>
      </w:r>
      <w:r w:rsidR="003F30FA">
        <w:rPr>
          <w:b/>
        </w:rPr>
        <w:t>participant à l’exercice</w:t>
      </w:r>
      <w:r w:rsidR="005B0FA9" w:rsidRPr="00C458B6">
        <w:t xml:space="preserve"> </w:t>
      </w:r>
      <w:r w:rsidR="005B0FA9" w:rsidRPr="008F4C8B">
        <w:rPr>
          <w:b/>
        </w:rPr>
        <w:t>sont segmentées en trois catégories</w:t>
      </w:r>
      <w:r w:rsidR="005B0FA9">
        <w:t xml:space="preserve"> selon un critère de détention du capital :</w:t>
      </w:r>
    </w:p>
    <w:p w:rsidR="005B0FA9" w:rsidRDefault="005B0FA9" w:rsidP="005B0FA9">
      <w:pPr>
        <w:numPr>
          <w:ilvl w:val="0"/>
          <w:numId w:val="9"/>
        </w:numPr>
        <w:jc w:val="both"/>
      </w:pPr>
      <w:r>
        <w:t>les banques à capitaux domestiques (</w:t>
      </w:r>
      <w:r w:rsidRPr="00EB2B61">
        <w:rPr>
          <w:i/>
        </w:rPr>
        <w:t>Domestically owned banks</w:t>
      </w:r>
      <w:r w:rsidR="004C77EF">
        <w:rPr>
          <w:i/>
        </w:rPr>
        <w:t xml:space="preserve">, </w:t>
      </w:r>
      <w:r w:rsidR="007577CA">
        <w:t>par exemple BNP </w:t>
      </w:r>
      <w:r w:rsidR="004C77EF">
        <w:t>Pa</w:t>
      </w:r>
      <w:r w:rsidR="004C77EF" w:rsidRPr="004C77EF">
        <w:t>ribas</w:t>
      </w:r>
      <w:r>
        <w:t>) ;</w:t>
      </w:r>
    </w:p>
    <w:p w:rsidR="005B0FA9" w:rsidRDefault="005B0FA9" w:rsidP="005B0FA9">
      <w:pPr>
        <w:numPr>
          <w:ilvl w:val="0"/>
          <w:numId w:val="9"/>
        </w:numPr>
        <w:jc w:val="both"/>
      </w:pPr>
      <w:r>
        <w:t xml:space="preserve">les banques à capitaux étrangers, consolidées par un établissement </w:t>
      </w:r>
      <w:r w:rsidR="00415CE7">
        <w:t>situé dans</w:t>
      </w:r>
      <w:r>
        <w:t xml:space="preserve"> un pays déclarant (</w:t>
      </w:r>
      <w:r w:rsidRPr="00733543">
        <w:rPr>
          <w:i/>
        </w:rPr>
        <w:t>Inside area consolidated offices</w:t>
      </w:r>
      <w:r w:rsidR="004C77EF">
        <w:rPr>
          <w:i/>
        </w:rPr>
        <w:t xml:space="preserve">, </w:t>
      </w:r>
      <w:r w:rsidR="00CF7130">
        <w:t xml:space="preserve">par exemple </w:t>
      </w:r>
      <w:r w:rsidR="004C77EF">
        <w:t>HSBC France</w:t>
      </w:r>
      <w:r>
        <w:t>) ;</w:t>
      </w:r>
    </w:p>
    <w:p w:rsidR="005B0FA9" w:rsidRDefault="005B0FA9" w:rsidP="005B0FA9">
      <w:pPr>
        <w:numPr>
          <w:ilvl w:val="0"/>
          <w:numId w:val="9"/>
        </w:numPr>
        <w:jc w:val="both"/>
      </w:pPr>
      <w:r>
        <w:t xml:space="preserve">les banques à capitaux étrangers </w:t>
      </w:r>
      <w:r w:rsidR="00F86931">
        <w:t xml:space="preserve">consolidées </w:t>
      </w:r>
      <w:r>
        <w:t xml:space="preserve">par un établissement </w:t>
      </w:r>
      <w:r w:rsidR="00415CE7">
        <w:t xml:space="preserve">situé dans </w:t>
      </w:r>
      <w:r>
        <w:t xml:space="preserve">un pays non déclarant et les banques non consolidées </w:t>
      </w:r>
      <w:r w:rsidR="00415CE7">
        <w:t xml:space="preserve">appartenant à </w:t>
      </w:r>
      <w:r>
        <w:t xml:space="preserve">un établissement </w:t>
      </w:r>
      <w:r w:rsidR="00415CE7">
        <w:t>situé dans</w:t>
      </w:r>
      <w:r>
        <w:t xml:space="preserve"> un pays déclarant (</w:t>
      </w:r>
      <w:r w:rsidRPr="00AA29A8">
        <w:rPr>
          <w:i/>
        </w:rPr>
        <w:t>Outside area offices + inside area unconsolidated office</w:t>
      </w:r>
      <w:r w:rsidR="003A5A50">
        <w:rPr>
          <w:i/>
        </w:rPr>
        <w:t>,</w:t>
      </w:r>
      <w:r w:rsidR="003A5A50" w:rsidRPr="003A5A50">
        <w:t xml:space="preserve"> </w:t>
      </w:r>
      <w:r w:rsidR="003A5A50">
        <w:t>par exemple la banque russe VTB France SA</w:t>
      </w:r>
      <w:r>
        <w:t>).</w:t>
      </w:r>
    </w:p>
    <w:p w:rsidR="005B0FA9" w:rsidRDefault="005B0FA9" w:rsidP="002B693C">
      <w:pPr>
        <w:ind w:firstLine="708"/>
        <w:jc w:val="both"/>
      </w:pPr>
    </w:p>
    <w:p w:rsidR="00AD1298" w:rsidRDefault="003F30FA" w:rsidP="002B693C">
      <w:pPr>
        <w:ind w:firstLine="708"/>
        <w:jc w:val="both"/>
      </w:pPr>
      <w:r>
        <w:t>Les</w:t>
      </w:r>
      <w:r w:rsidR="00AD1298">
        <w:t xml:space="preserve"> banques </w:t>
      </w:r>
      <w:r>
        <w:t>participantes</w:t>
      </w:r>
      <w:r w:rsidR="00AD1298">
        <w:t xml:space="preserve"> sont soumises à des déclarations dif</w:t>
      </w:r>
      <w:r>
        <w:t>férentes selon leur catégorie.</w:t>
      </w:r>
    </w:p>
    <w:p w:rsidR="004C77EF" w:rsidRDefault="004C77EF" w:rsidP="002B693C">
      <w:pPr>
        <w:ind w:firstLine="708"/>
        <w:jc w:val="both"/>
      </w:pPr>
    </w:p>
    <w:p w:rsidR="00D25AB9" w:rsidRDefault="00D25AB9" w:rsidP="002B693C">
      <w:pPr>
        <w:ind w:firstLine="708"/>
        <w:jc w:val="both"/>
      </w:pPr>
    </w:p>
    <w:p w:rsidR="004C77EF" w:rsidRPr="00BD3FA7" w:rsidRDefault="00BD3FA7" w:rsidP="002B693C">
      <w:pPr>
        <w:ind w:firstLine="708"/>
        <w:jc w:val="both"/>
        <w:rPr>
          <w:b/>
          <w:i/>
          <w:u w:val="single"/>
        </w:rPr>
      </w:pPr>
      <w:r w:rsidRPr="00BD3FA7">
        <w:rPr>
          <w:b/>
          <w:i/>
          <w:u w:val="single"/>
        </w:rPr>
        <w:lastRenderedPageBreak/>
        <w:t>Les éléments de bilan</w:t>
      </w:r>
      <w:r w:rsidR="003F30FA">
        <w:rPr>
          <w:b/>
          <w:i/>
          <w:u w:val="single"/>
        </w:rPr>
        <w:t xml:space="preserve"> à déclarer</w:t>
      </w:r>
    </w:p>
    <w:p w:rsidR="004C77EF" w:rsidRDefault="004C77EF" w:rsidP="002B693C">
      <w:pPr>
        <w:ind w:firstLine="708"/>
        <w:jc w:val="both"/>
      </w:pPr>
    </w:p>
    <w:p w:rsidR="00BD3FA7" w:rsidRDefault="00BD3FA7" w:rsidP="00BD3FA7">
      <w:pPr>
        <w:ind w:firstLine="708"/>
        <w:jc w:val="both"/>
      </w:pPr>
      <w:r>
        <w:t>Les banques doivent déclarer</w:t>
      </w:r>
      <w:r w:rsidR="00D8661C">
        <w:t xml:space="preserve"> les éléments du bilan selon la nomenclature suivante </w:t>
      </w:r>
      <w:r>
        <w:t>(</w:t>
      </w:r>
      <w:r>
        <w:rPr>
          <w:i/>
        </w:rPr>
        <w:t xml:space="preserve">On-balance sheet </w:t>
      </w:r>
      <w:r w:rsidRPr="00B010BE">
        <w:rPr>
          <w:i/>
        </w:rPr>
        <w:t>financial claims</w:t>
      </w:r>
      <w:r>
        <w:t>) :</w:t>
      </w:r>
    </w:p>
    <w:p w:rsidR="00BD3FA7" w:rsidRDefault="00BD3FA7" w:rsidP="00BD3FA7">
      <w:pPr>
        <w:numPr>
          <w:ilvl w:val="0"/>
          <w:numId w:val="9"/>
        </w:numPr>
        <w:jc w:val="both"/>
      </w:pPr>
      <w:r>
        <w:t>les prêts et avances aux banques ;</w:t>
      </w:r>
    </w:p>
    <w:p w:rsidR="00BD3FA7" w:rsidRDefault="00BD3FA7" w:rsidP="00BD3FA7">
      <w:pPr>
        <w:numPr>
          <w:ilvl w:val="0"/>
          <w:numId w:val="9"/>
        </w:numPr>
        <w:jc w:val="both"/>
      </w:pPr>
      <w:r>
        <w:t>les opérations de pension ;</w:t>
      </w:r>
    </w:p>
    <w:p w:rsidR="00BD3FA7" w:rsidRDefault="00BD3FA7" w:rsidP="00BD3FA7">
      <w:pPr>
        <w:numPr>
          <w:ilvl w:val="0"/>
          <w:numId w:val="9"/>
        </w:numPr>
        <w:jc w:val="both"/>
      </w:pPr>
      <w:r>
        <w:t>les prêts et avances à la clientèle non financière (y compris les crédits à l’exportation) ;</w:t>
      </w:r>
    </w:p>
    <w:p w:rsidR="00BD3FA7" w:rsidRDefault="00BD3FA7" w:rsidP="00BD3FA7">
      <w:pPr>
        <w:numPr>
          <w:ilvl w:val="0"/>
          <w:numId w:val="9"/>
        </w:numPr>
        <w:jc w:val="both"/>
      </w:pPr>
      <w:r>
        <w:t>les titres ;</w:t>
      </w:r>
    </w:p>
    <w:p w:rsidR="00BD3FA7" w:rsidRDefault="00BD3FA7" w:rsidP="00BD3FA7">
      <w:pPr>
        <w:numPr>
          <w:ilvl w:val="0"/>
          <w:numId w:val="9"/>
        </w:numPr>
        <w:jc w:val="both"/>
      </w:pPr>
      <w:r>
        <w:t>les participations dans les entreprises bancaires ou non (stock d’investissements directs).</w:t>
      </w:r>
    </w:p>
    <w:p w:rsidR="00BD3FA7" w:rsidRDefault="00BD3FA7" w:rsidP="002B693C">
      <w:pPr>
        <w:ind w:firstLine="708"/>
        <w:jc w:val="both"/>
      </w:pPr>
    </w:p>
    <w:p w:rsidR="003F30FA" w:rsidRDefault="003F30FA" w:rsidP="002B693C">
      <w:pPr>
        <w:ind w:firstLine="708"/>
        <w:jc w:val="both"/>
      </w:pPr>
    </w:p>
    <w:p w:rsidR="000B1E25" w:rsidRDefault="000B1E25" w:rsidP="00BD3FA7">
      <w:pPr>
        <w:ind w:left="708"/>
        <w:jc w:val="both"/>
        <w:rPr>
          <w:b/>
          <w:i/>
          <w:u w:val="single"/>
        </w:rPr>
      </w:pPr>
    </w:p>
    <w:p w:rsidR="00BD3FA7" w:rsidRPr="00BD3FA7" w:rsidRDefault="00BD3FA7" w:rsidP="00BD3FA7">
      <w:pPr>
        <w:ind w:left="708"/>
        <w:jc w:val="both"/>
        <w:rPr>
          <w:b/>
          <w:i/>
          <w:u w:val="single"/>
        </w:rPr>
      </w:pPr>
      <w:r w:rsidRPr="00BD3FA7">
        <w:rPr>
          <w:b/>
          <w:i/>
          <w:u w:val="single"/>
        </w:rPr>
        <w:t>Les différents regroupements de créances</w:t>
      </w:r>
    </w:p>
    <w:p w:rsidR="00BD3FA7" w:rsidRDefault="00BD3FA7" w:rsidP="002B693C">
      <w:pPr>
        <w:ind w:firstLine="708"/>
        <w:jc w:val="both"/>
      </w:pPr>
    </w:p>
    <w:p w:rsidR="002B693C" w:rsidRDefault="00BD3FA7" w:rsidP="00BD3FA7">
      <w:pPr>
        <w:ind w:left="360" w:firstLine="708"/>
        <w:jc w:val="both"/>
      </w:pPr>
      <w:r>
        <w:t>L</w:t>
      </w:r>
      <w:r w:rsidR="002B693C">
        <w:t xml:space="preserve">es créances </w:t>
      </w:r>
      <w:r w:rsidR="00E85F60">
        <w:t>bancaires</w:t>
      </w:r>
      <w:r w:rsidR="002B693C">
        <w:t xml:space="preserve"> consolidées recouvrent :</w:t>
      </w:r>
    </w:p>
    <w:p w:rsidR="002B693C" w:rsidRDefault="002B693C" w:rsidP="002B693C">
      <w:pPr>
        <w:numPr>
          <w:ilvl w:val="0"/>
          <w:numId w:val="9"/>
        </w:numPr>
        <w:jc w:val="both"/>
      </w:pPr>
      <w:r>
        <w:t xml:space="preserve">les </w:t>
      </w:r>
      <w:r w:rsidRPr="002B693C">
        <w:rPr>
          <w:b/>
        </w:rPr>
        <w:t>créances transfrontières</w:t>
      </w:r>
      <w:r>
        <w:t xml:space="preserve"> </w:t>
      </w:r>
      <w:r w:rsidR="00EF68B8">
        <w:t>(</w:t>
      </w:r>
      <w:r w:rsidR="00EF68B8" w:rsidRPr="00EF68B8">
        <w:rPr>
          <w:i/>
        </w:rPr>
        <w:t>Cross-border claims</w:t>
      </w:r>
      <w:r w:rsidR="00EF68B8">
        <w:t xml:space="preserve">) </w:t>
      </w:r>
      <w:r>
        <w:t>sur les non-résidents ;</w:t>
      </w:r>
    </w:p>
    <w:p w:rsidR="002B693C" w:rsidRDefault="002B693C" w:rsidP="002B693C">
      <w:pPr>
        <w:numPr>
          <w:ilvl w:val="0"/>
          <w:numId w:val="9"/>
        </w:numPr>
        <w:jc w:val="both"/>
      </w:pPr>
      <w:r>
        <w:t xml:space="preserve">les </w:t>
      </w:r>
      <w:r w:rsidR="00E85F60">
        <w:rPr>
          <w:b/>
        </w:rPr>
        <w:t xml:space="preserve">créances des </w:t>
      </w:r>
      <w:r w:rsidRPr="002B693C">
        <w:rPr>
          <w:b/>
        </w:rPr>
        <w:t xml:space="preserve">filiales </w:t>
      </w:r>
      <w:r w:rsidR="008E5A66">
        <w:rPr>
          <w:b/>
        </w:rPr>
        <w:t>et succursales à l’étrang</w:t>
      </w:r>
      <w:r w:rsidR="00E85F60">
        <w:rPr>
          <w:b/>
        </w:rPr>
        <w:t>e</w:t>
      </w:r>
      <w:r w:rsidR="008E5A66">
        <w:rPr>
          <w:b/>
        </w:rPr>
        <w:t>r</w:t>
      </w:r>
      <w:r w:rsidR="00E85F60">
        <w:rPr>
          <w:b/>
        </w:rPr>
        <w:t xml:space="preserve"> </w:t>
      </w:r>
      <w:r w:rsidRPr="002B693C">
        <w:rPr>
          <w:b/>
        </w:rPr>
        <w:t>sur les résidents locaux en devises</w:t>
      </w:r>
      <w:r w:rsidR="00EF68B8">
        <w:rPr>
          <w:b/>
        </w:rPr>
        <w:t xml:space="preserve"> </w:t>
      </w:r>
      <w:r w:rsidR="00EF68B8" w:rsidRPr="00EF68B8">
        <w:t>(</w:t>
      </w:r>
      <w:r w:rsidR="00EF68B8" w:rsidRPr="00EF68B8">
        <w:rPr>
          <w:i/>
        </w:rPr>
        <w:t>Local claims of foreign affiliates in foreign currency</w:t>
      </w:r>
      <w:r w:rsidR="00EF68B8" w:rsidRPr="00EF68B8">
        <w:t>)</w:t>
      </w:r>
      <w:r w:rsidRPr="002B693C">
        <w:rPr>
          <w:b/>
        </w:rPr>
        <w:t> </w:t>
      </w:r>
      <w:r>
        <w:t>;</w:t>
      </w:r>
    </w:p>
    <w:p w:rsidR="002B693C" w:rsidRPr="002B693C" w:rsidRDefault="002B693C" w:rsidP="002B693C">
      <w:pPr>
        <w:numPr>
          <w:ilvl w:val="0"/>
          <w:numId w:val="9"/>
        </w:numPr>
        <w:jc w:val="both"/>
        <w:rPr>
          <w:b/>
        </w:rPr>
      </w:pPr>
      <w:r>
        <w:t xml:space="preserve">les </w:t>
      </w:r>
      <w:r w:rsidRPr="002B693C">
        <w:rPr>
          <w:b/>
        </w:rPr>
        <w:t xml:space="preserve">créances </w:t>
      </w:r>
      <w:r w:rsidR="00E85F60">
        <w:rPr>
          <w:b/>
        </w:rPr>
        <w:t xml:space="preserve">des </w:t>
      </w:r>
      <w:r w:rsidR="00E85F60" w:rsidRPr="002B693C">
        <w:rPr>
          <w:b/>
        </w:rPr>
        <w:t xml:space="preserve">filiales </w:t>
      </w:r>
      <w:r w:rsidR="008E5A66">
        <w:rPr>
          <w:b/>
        </w:rPr>
        <w:t xml:space="preserve">et succursales à l’étranger </w:t>
      </w:r>
      <w:r w:rsidR="00D25AB9">
        <w:rPr>
          <w:b/>
        </w:rPr>
        <w:t>sur les</w:t>
      </w:r>
      <w:r w:rsidR="00BB1FD9">
        <w:rPr>
          <w:b/>
        </w:rPr>
        <w:t xml:space="preserve"> </w:t>
      </w:r>
      <w:r w:rsidRPr="002B693C">
        <w:rPr>
          <w:b/>
        </w:rPr>
        <w:t>résidents locaux en monnaie locale</w:t>
      </w:r>
      <w:r w:rsidR="00A11428">
        <w:rPr>
          <w:b/>
        </w:rPr>
        <w:t xml:space="preserve"> </w:t>
      </w:r>
      <w:r w:rsidR="00A11428" w:rsidRPr="00EF68B8">
        <w:t>(</w:t>
      </w:r>
      <w:r w:rsidR="00A11428" w:rsidRPr="00EF68B8">
        <w:rPr>
          <w:i/>
        </w:rPr>
        <w:t xml:space="preserve">Local claims of foreign affiliates in </w:t>
      </w:r>
      <w:r w:rsidR="00A11428">
        <w:rPr>
          <w:i/>
        </w:rPr>
        <w:t>local</w:t>
      </w:r>
      <w:r w:rsidR="00A11428" w:rsidRPr="00EF68B8">
        <w:rPr>
          <w:i/>
        </w:rPr>
        <w:t xml:space="preserve"> currency</w:t>
      </w:r>
      <w:r w:rsidR="00A11428" w:rsidRPr="00EF68B8">
        <w:t>)</w:t>
      </w:r>
      <w:r>
        <w:rPr>
          <w:b/>
        </w:rPr>
        <w:t>.</w:t>
      </w:r>
    </w:p>
    <w:p w:rsidR="002B693C" w:rsidRDefault="002B693C" w:rsidP="002B693C">
      <w:pPr>
        <w:ind w:left="708"/>
        <w:jc w:val="both"/>
      </w:pPr>
    </w:p>
    <w:p w:rsidR="0073028E" w:rsidRDefault="00513892" w:rsidP="00680F8C">
      <w:pPr>
        <w:ind w:firstLine="1068"/>
        <w:jc w:val="both"/>
      </w:pPr>
      <w:r>
        <w:t xml:space="preserve">La somme des </w:t>
      </w:r>
      <w:r w:rsidRPr="00680F8C">
        <w:rPr>
          <w:b/>
        </w:rPr>
        <w:t>créances transfro</w:t>
      </w:r>
      <w:r w:rsidR="00190673" w:rsidRPr="00680F8C">
        <w:rPr>
          <w:b/>
        </w:rPr>
        <w:t>ntières</w:t>
      </w:r>
      <w:r w:rsidR="00190673">
        <w:t xml:space="preserve"> et des créances </w:t>
      </w:r>
      <w:r w:rsidR="00190673" w:rsidRPr="00680F8C">
        <w:rPr>
          <w:b/>
        </w:rPr>
        <w:t>des filiales</w:t>
      </w:r>
      <w:r w:rsidR="008E5A66" w:rsidRPr="00680F8C">
        <w:rPr>
          <w:b/>
        </w:rPr>
        <w:t xml:space="preserve"> </w:t>
      </w:r>
      <w:r w:rsidR="00050F38" w:rsidRPr="00680F8C">
        <w:rPr>
          <w:b/>
        </w:rPr>
        <w:t xml:space="preserve">et succursales à l’étranger </w:t>
      </w:r>
      <w:r w:rsidR="008E5A66" w:rsidRPr="00680F8C">
        <w:rPr>
          <w:b/>
        </w:rPr>
        <w:t>sur les résidents locaux en devises</w:t>
      </w:r>
      <w:r w:rsidR="008E5A66">
        <w:t xml:space="preserve"> </w:t>
      </w:r>
      <w:r>
        <w:t xml:space="preserve">constitue les </w:t>
      </w:r>
      <w:r w:rsidR="00190673" w:rsidRPr="00680F8C">
        <w:rPr>
          <w:b/>
        </w:rPr>
        <w:t>créances internationales</w:t>
      </w:r>
      <w:r w:rsidR="008E5A66">
        <w:t xml:space="preserve"> (</w:t>
      </w:r>
      <w:r w:rsidR="008E5A66" w:rsidRPr="00680F8C">
        <w:rPr>
          <w:i/>
        </w:rPr>
        <w:t>International claims</w:t>
      </w:r>
      <w:r w:rsidR="008E5A66">
        <w:t>).</w:t>
      </w:r>
      <w:r w:rsidR="00663FA3">
        <w:t xml:space="preserve"> </w:t>
      </w:r>
    </w:p>
    <w:p w:rsidR="00EF68B8" w:rsidRDefault="00663FA3" w:rsidP="00680F8C">
      <w:pPr>
        <w:ind w:firstLine="1068"/>
        <w:jc w:val="both"/>
      </w:pPr>
      <w:r>
        <w:t xml:space="preserve">Aux créances internationales sont ajoutées </w:t>
      </w:r>
      <w:r w:rsidRPr="00663FA3">
        <w:t>les créances des filiales et succursales à l’étranger sur les résidents locaux en monnaie locale</w:t>
      </w:r>
      <w:r>
        <w:t xml:space="preserve"> pour former les </w:t>
      </w:r>
      <w:r w:rsidRPr="00680F8C">
        <w:rPr>
          <w:b/>
        </w:rPr>
        <w:t>créances sur l’étranger</w:t>
      </w:r>
      <w:r>
        <w:t xml:space="preserve"> (</w:t>
      </w:r>
      <w:r w:rsidRPr="00680F8C">
        <w:rPr>
          <w:i/>
        </w:rPr>
        <w:t>Foreign claims</w:t>
      </w:r>
      <w:r>
        <w:t>)</w:t>
      </w:r>
      <w:r w:rsidR="005E056F">
        <w:t>, qui constituent la notion la plus large de l’activité internationale des banques.</w:t>
      </w:r>
    </w:p>
    <w:p w:rsidR="00FB363B" w:rsidRDefault="00FB363B" w:rsidP="009065A2">
      <w:pPr>
        <w:ind w:firstLine="708"/>
        <w:jc w:val="both"/>
      </w:pPr>
    </w:p>
    <w:p w:rsidR="009065A2" w:rsidRDefault="002B693C" w:rsidP="009065A2">
      <w:pPr>
        <w:ind w:firstLine="708"/>
        <w:jc w:val="both"/>
      </w:pPr>
      <w:r>
        <w:t xml:space="preserve">Exprimées en contrevaleur dollar (USD), </w:t>
      </w:r>
      <w:r w:rsidR="006B473C">
        <w:t xml:space="preserve">les créances </w:t>
      </w:r>
      <w:r w:rsidR="00C0302A">
        <w:t>bancaires consolidées</w:t>
      </w:r>
      <w:r w:rsidR="006B473C">
        <w:t xml:space="preserve"> </w:t>
      </w:r>
      <w:r w:rsidR="00B22889">
        <w:t xml:space="preserve">sont produites </w:t>
      </w:r>
      <w:r w:rsidR="00C458B6">
        <w:t xml:space="preserve">par pays de contrepartie et </w:t>
      </w:r>
      <w:r w:rsidR="00B22889">
        <w:t>selon</w:t>
      </w:r>
      <w:r w:rsidR="009065A2">
        <w:t xml:space="preserve"> </w:t>
      </w:r>
      <w:r w:rsidR="009065A2" w:rsidRPr="002D4C76">
        <w:rPr>
          <w:b/>
        </w:rPr>
        <w:t xml:space="preserve">deux critères </w:t>
      </w:r>
      <w:r w:rsidR="009065A2">
        <w:t>(en risque ultime et en contrepartie immédiate).</w:t>
      </w:r>
      <w:r w:rsidR="00A923C2">
        <w:t xml:space="preserve"> </w:t>
      </w:r>
      <w:r w:rsidR="00C458B6">
        <w:t>Selon le critère retenu, l</w:t>
      </w:r>
      <w:r w:rsidR="0072553E">
        <w:t>’information est plus ou moins détaillée</w:t>
      </w:r>
      <w:r w:rsidR="00C458B6">
        <w:t xml:space="preserve"> (segmentation par maturité, secteur </w:t>
      </w:r>
      <w:r w:rsidR="00E94DFE">
        <w:t>d’activité</w:t>
      </w:r>
      <w:r w:rsidR="00BD3FA7">
        <w:t xml:space="preserve"> des entreprises</w:t>
      </w:r>
      <w:r w:rsidR="00E94DFE">
        <w:t>)</w:t>
      </w:r>
      <w:r w:rsidR="00C458B6">
        <w:t>.</w:t>
      </w:r>
    </w:p>
    <w:p w:rsidR="000B1E25" w:rsidRDefault="000B1E25" w:rsidP="009065A2">
      <w:pPr>
        <w:ind w:firstLine="708"/>
        <w:jc w:val="both"/>
      </w:pPr>
    </w:p>
    <w:p w:rsidR="000B1E25" w:rsidRDefault="000B1E25" w:rsidP="009065A2">
      <w:pPr>
        <w:ind w:firstLine="708"/>
        <w:jc w:val="both"/>
      </w:pPr>
    </w:p>
    <w:p w:rsidR="009065A2" w:rsidRDefault="009065A2" w:rsidP="009065A2">
      <w:pPr>
        <w:ind w:firstLine="708"/>
        <w:jc w:val="both"/>
      </w:pPr>
    </w:p>
    <w:p w:rsidR="006B473C" w:rsidRDefault="006B473C" w:rsidP="000B1E25">
      <w:pPr>
        <w:pStyle w:val="Titre1"/>
        <w:numPr>
          <w:ilvl w:val="0"/>
          <w:numId w:val="11"/>
        </w:numPr>
        <w:jc w:val="left"/>
      </w:pPr>
      <w:r>
        <w:t>Positions en critère de contrepartie immédiate</w:t>
      </w:r>
    </w:p>
    <w:p w:rsidR="000B1E25" w:rsidRPr="000B1E25" w:rsidRDefault="000B1E25" w:rsidP="000B1E25"/>
    <w:p w:rsidR="00597D6E" w:rsidRDefault="00597D6E" w:rsidP="006B473C">
      <w:pPr>
        <w:ind w:left="708"/>
        <w:jc w:val="both"/>
      </w:pPr>
    </w:p>
    <w:p w:rsidR="006B473C" w:rsidRDefault="006B473C" w:rsidP="00597D6E">
      <w:pPr>
        <w:ind w:firstLine="708"/>
        <w:jc w:val="both"/>
      </w:pPr>
      <w:r>
        <w:t xml:space="preserve">La </w:t>
      </w:r>
      <w:r w:rsidR="00BB1FD9">
        <w:t>première</w:t>
      </w:r>
      <w:r>
        <w:t xml:space="preserve"> série de statistiques regroupe des données sur la base de la contrepartie immédiate,</w:t>
      </w:r>
      <w:r w:rsidR="00597D6E">
        <w:t xml:space="preserve"> </w:t>
      </w:r>
      <w:r>
        <w:t>c’est-à-dire qu’elles sont affectées au pays sur lequel repose le risque initial</w:t>
      </w:r>
      <w:r w:rsidR="0006495D">
        <w:t xml:space="preserve"> (par exemple, une créance sur une succursale américaine d’un groupe japonais est déclarée sous Etats-Unis)</w:t>
      </w:r>
      <w:r>
        <w:t>.</w:t>
      </w:r>
    </w:p>
    <w:p w:rsidR="002660CF" w:rsidRDefault="002660CF" w:rsidP="00597D6E">
      <w:pPr>
        <w:ind w:firstLine="708"/>
        <w:jc w:val="both"/>
      </w:pPr>
    </w:p>
    <w:p w:rsidR="00A072BC" w:rsidRDefault="00711332" w:rsidP="00597D6E">
      <w:pPr>
        <w:ind w:firstLine="708"/>
        <w:jc w:val="both"/>
      </w:pPr>
      <w:r>
        <w:t>Toutes les banques déclarent et une segmentation</w:t>
      </w:r>
      <w:r w:rsidR="00A072BC">
        <w:t xml:space="preserve"> entre banques à capitaux français et banques à capitaux étrangers est proposée</w:t>
      </w:r>
      <w:r w:rsidR="00520AFC">
        <w:t xml:space="preserve"> (cf. supra)</w:t>
      </w:r>
      <w:r w:rsidR="0075268B">
        <w:t xml:space="preserve"> mais les banques à capitaux étrangers consolidées par une banque appartenant à un pays participant à l’enquête ne déclare</w:t>
      </w:r>
      <w:r w:rsidR="00FB363B">
        <w:t>nt</w:t>
      </w:r>
      <w:r w:rsidR="0075268B">
        <w:t xml:space="preserve"> </w:t>
      </w:r>
      <w:r w:rsidR="00FB363B">
        <w:t>que les</w:t>
      </w:r>
      <w:r w:rsidR="0075268B">
        <w:t xml:space="preserve"> encours sur </w:t>
      </w:r>
      <w:r w:rsidR="00FB363B">
        <w:t xml:space="preserve">les résidents de </w:t>
      </w:r>
      <w:r w:rsidR="0075268B">
        <w:t>son pays d’origine.</w:t>
      </w:r>
    </w:p>
    <w:p w:rsidR="00DB46BA" w:rsidRDefault="00DB46BA" w:rsidP="00597D6E">
      <w:pPr>
        <w:ind w:firstLine="708"/>
        <w:jc w:val="both"/>
      </w:pPr>
    </w:p>
    <w:p w:rsidR="00415CE7" w:rsidRDefault="00A072BC" w:rsidP="00415CE7">
      <w:pPr>
        <w:ind w:firstLine="708"/>
        <w:jc w:val="both"/>
      </w:pPr>
      <w:r>
        <w:t xml:space="preserve">Les </w:t>
      </w:r>
      <w:r w:rsidRPr="00711332">
        <w:rPr>
          <w:b/>
        </w:rPr>
        <w:t>créances internationales</w:t>
      </w:r>
      <w:r>
        <w:t xml:space="preserve"> sont réparties</w:t>
      </w:r>
      <w:r w:rsidR="00415CE7">
        <w:t xml:space="preserve"> </w:t>
      </w:r>
      <w:r>
        <w:t>par maturité</w:t>
      </w:r>
      <w:r w:rsidR="00415CE7">
        <w:t xml:space="preserve"> (</w:t>
      </w:r>
      <w:r>
        <w:t>moins d’un an, d’un à deux ans et plus de deux ans</w:t>
      </w:r>
      <w:r w:rsidR="00415CE7">
        <w:t xml:space="preserve">) et </w:t>
      </w:r>
      <w:r>
        <w:t>par secteur d’activité (banques, secteur public</w:t>
      </w:r>
      <w:r w:rsidR="00DB46BA" w:rsidRPr="00DB46BA">
        <w:t xml:space="preserve"> </w:t>
      </w:r>
      <w:r w:rsidR="00DB46BA">
        <w:t xml:space="preserve">yc BRI et </w:t>
      </w:r>
      <w:smartTag w:uri="urn:schemas-microsoft-com:office:smarttags" w:element="PersonName">
        <w:smartTagPr>
          <w:attr w:name="ProductID" w:val="la BCE"/>
        </w:smartTagPr>
        <w:r w:rsidR="00DB46BA">
          <w:t>la BCE</w:t>
        </w:r>
      </w:smartTag>
      <w:r>
        <w:t>, secteur privé non bancaire).</w:t>
      </w:r>
      <w:r w:rsidR="00415CE7">
        <w:t xml:space="preserve"> En revanche, les </w:t>
      </w:r>
      <w:r w:rsidR="00415CE7" w:rsidRPr="00711332">
        <w:rPr>
          <w:b/>
        </w:rPr>
        <w:t>créances locales en monnaie locale</w:t>
      </w:r>
      <w:r w:rsidR="00415CE7">
        <w:t xml:space="preserve"> sont produites pour chacun des pays contrepartie sans aucune segmentation</w:t>
      </w:r>
      <w:r w:rsidR="00BF644A">
        <w:t>. En conséquence</w:t>
      </w:r>
      <w:r w:rsidR="00415CE7">
        <w:t>, les créances sur l’étranger ne sont pas sectorisées.</w:t>
      </w:r>
    </w:p>
    <w:p w:rsidR="00A072BC" w:rsidRDefault="00A072BC" w:rsidP="00415CE7">
      <w:pPr>
        <w:ind w:firstLine="708"/>
        <w:jc w:val="both"/>
      </w:pPr>
    </w:p>
    <w:p w:rsidR="0025269E" w:rsidRDefault="00C26D23" w:rsidP="00B15D35">
      <w:pPr>
        <w:ind w:firstLine="708"/>
        <w:jc w:val="both"/>
      </w:pPr>
      <w:r>
        <w:t xml:space="preserve">Les banques à capitaux domestiques </w:t>
      </w:r>
      <w:r w:rsidR="006B473C">
        <w:t xml:space="preserve">fournissent des </w:t>
      </w:r>
      <w:r w:rsidR="008F1792">
        <w:t>encours</w:t>
      </w:r>
      <w:r w:rsidR="006B473C">
        <w:t xml:space="preserve"> de </w:t>
      </w:r>
      <w:r w:rsidR="008F1792" w:rsidRPr="006F7B53">
        <w:rPr>
          <w:b/>
        </w:rPr>
        <w:t>transfert de risque</w:t>
      </w:r>
      <w:r w:rsidR="008F1792">
        <w:t xml:space="preserve"> du fait </w:t>
      </w:r>
      <w:r w:rsidR="006B473C">
        <w:t>des garanties</w:t>
      </w:r>
      <w:r w:rsidR="006F7B53">
        <w:t xml:space="preserve"> prises ou données</w:t>
      </w:r>
      <w:r w:rsidR="006B473C">
        <w:t>, des collatéraux et des dérivés de crédit</w:t>
      </w:r>
      <w:r w:rsidR="0025269E">
        <w:t xml:space="preserve"> </w:t>
      </w:r>
      <w:r w:rsidR="00267D9D">
        <w:t>en dérivés de couverture</w:t>
      </w:r>
      <w:r w:rsidR="006F7B53">
        <w:t>.</w:t>
      </w:r>
      <w:r w:rsidR="00382C43">
        <w:t xml:space="preserve"> Ils permettent de passer de la notion d’encours en contrepartie immédiate à celle d’encours en risque ultime.</w:t>
      </w:r>
      <w:r w:rsidR="007C454E">
        <w:t xml:space="preserve"> L’établissement indique par pays la sortie de risque (</w:t>
      </w:r>
      <w:r w:rsidR="007C454E" w:rsidRPr="007C454E">
        <w:rPr>
          <w:i/>
        </w:rPr>
        <w:t>Outward risk transfer</w:t>
      </w:r>
      <w:r w:rsidR="007C454E">
        <w:t>), l’entrée de risque (</w:t>
      </w:r>
      <w:r w:rsidR="007C454E">
        <w:rPr>
          <w:i/>
        </w:rPr>
        <w:t>In</w:t>
      </w:r>
      <w:r w:rsidR="007C454E" w:rsidRPr="007C454E">
        <w:rPr>
          <w:i/>
        </w:rPr>
        <w:t>ward risk transfer</w:t>
      </w:r>
      <w:r w:rsidR="007C454E">
        <w:rPr>
          <w:i/>
        </w:rPr>
        <w:t xml:space="preserve">) </w:t>
      </w:r>
      <w:r w:rsidR="007C454E" w:rsidRPr="007C454E">
        <w:t>et le transfert net.</w:t>
      </w:r>
    </w:p>
    <w:p w:rsidR="000B1E25" w:rsidRDefault="000B1E25" w:rsidP="00B15D35">
      <w:pPr>
        <w:ind w:firstLine="708"/>
        <w:jc w:val="both"/>
      </w:pPr>
    </w:p>
    <w:p w:rsidR="000B1E25" w:rsidRDefault="000B1E25" w:rsidP="00B15D35">
      <w:pPr>
        <w:ind w:firstLine="708"/>
        <w:jc w:val="both"/>
      </w:pPr>
    </w:p>
    <w:p w:rsidR="000B1E25" w:rsidRDefault="000B1E25" w:rsidP="00B15D35">
      <w:pPr>
        <w:ind w:firstLine="708"/>
        <w:jc w:val="both"/>
      </w:pPr>
    </w:p>
    <w:p w:rsidR="00AC6A74" w:rsidRDefault="00AC6A74" w:rsidP="00B15D35">
      <w:pPr>
        <w:ind w:firstLine="708"/>
        <w:jc w:val="both"/>
      </w:pPr>
    </w:p>
    <w:p w:rsidR="00BB1FD9" w:rsidRDefault="00BB1FD9" w:rsidP="00BB1FD9">
      <w:pPr>
        <w:pStyle w:val="Titre1"/>
        <w:jc w:val="left"/>
      </w:pPr>
      <w:r>
        <w:t>2. Positions en critère de risque ultime</w:t>
      </w:r>
    </w:p>
    <w:p w:rsidR="00BB1FD9" w:rsidRDefault="00BB1FD9" w:rsidP="00BB1FD9">
      <w:pPr>
        <w:ind w:left="708"/>
        <w:jc w:val="both"/>
      </w:pPr>
    </w:p>
    <w:p w:rsidR="00BB1FD9" w:rsidRDefault="00BB1FD9" w:rsidP="00BB1FD9">
      <w:pPr>
        <w:ind w:firstLine="708"/>
        <w:jc w:val="both"/>
      </w:pPr>
      <w:r>
        <w:t>La seconde série de statistiques rassemble des données en critère de risque ultime, c’est-à dire qu’elles sont affectées au pays sur lequel repose le risque final, afin de déterminer l’exposition de ce pays au risque de crédit. Le pays de risque ultime est défini comme le pays dans lequel le garant d’une créance réside et/ou le pays où se situe le siège d’une succ</w:t>
      </w:r>
      <w:r w:rsidR="00BE50B2">
        <w:t>ursale dépendante juridiquement (par exemple, une créance sur une succursale américaine d’un groupe japonais est déclarée sous Japon).</w:t>
      </w:r>
    </w:p>
    <w:p w:rsidR="00BE50B2" w:rsidRDefault="00BE50B2" w:rsidP="00BB1FD9">
      <w:pPr>
        <w:ind w:firstLine="708"/>
        <w:jc w:val="both"/>
      </w:pPr>
    </w:p>
    <w:p w:rsidR="00BB1FD9" w:rsidRDefault="00BB1FD9" w:rsidP="00BB1FD9">
      <w:pPr>
        <w:ind w:firstLine="708"/>
        <w:jc w:val="both"/>
      </w:pPr>
      <w:r>
        <w:t>Seules les banques à capitaux domestiques fournissent les expositions en risque ultime.</w:t>
      </w:r>
    </w:p>
    <w:p w:rsidR="00BB1FD9" w:rsidRDefault="00BB1FD9" w:rsidP="00BB1FD9">
      <w:pPr>
        <w:ind w:firstLine="708"/>
        <w:jc w:val="both"/>
      </w:pPr>
    </w:p>
    <w:p w:rsidR="00BB1FD9" w:rsidRDefault="00BB1FD9" w:rsidP="00BB1FD9">
      <w:pPr>
        <w:ind w:firstLine="708"/>
        <w:jc w:val="both"/>
      </w:pPr>
      <w:r>
        <w:t xml:space="preserve">Seules les </w:t>
      </w:r>
      <w:r w:rsidRPr="008334A0">
        <w:rPr>
          <w:b/>
        </w:rPr>
        <w:t>créances sur l’étranger</w:t>
      </w:r>
      <w:r>
        <w:t xml:space="preserve"> sont segmentées par secteur d’activité (banques, secteur public</w:t>
      </w:r>
      <w:r w:rsidRPr="00DB46BA">
        <w:t xml:space="preserve"> </w:t>
      </w:r>
      <w:r>
        <w:t>yc BRI et BC</w:t>
      </w:r>
      <w:r w:rsidR="00C26D23">
        <w:t>E, secteur privé non bancaire).</w:t>
      </w:r>
    </w:p>
    <w:p w:rsidR="00C26D23" w:rsidRDefault="00C26D23" w:rsidP="00BB1FD9">
      <w:pPr>
        <w:ind w:firstLine="708"/>
        <w:jc w:val="both"/>
      </w:pPr>
    </w:p>
    <w:p w:rsidR="008334A0" w:rsidRDefault="008334A0" w:rsidP="00BB1FD9">
      <w:pPr>
        <w:ind w:firstLine="708"/>
        <w:jc w:val="both"/>
      </w:pPr>
    </w:p>
    <w:p w:rsidR="009A7E96" w:rsidRDefault="00BB1FD9" w:rsidP="00BB1FD9">
      <w:pPr>
        <w:ind w:firstLine="708"/>
        <w:jc w:val="both"/>
      </w:pPr>
      <w:r>
        <w:t xml:space="preserve">En outre, les banques </w:t>
      </w:r>
      <w:r w:rsidR="00FC3C15">
        <w:t xml:space="preserve">à capitaux domestiques </w:t>
      </w:r>
      <w:r>
        <w:t xml:space="preserve">produisent une </w:t>
      </w:r>
      <w:r w:rsidRPr="00A072BC">
        <w:rPr>
          <w:b/>
        </w:rPr>
        <w:t>information complémentaire</w:t>
      </w:r>
      <w:r>
        <w:rPr>
          <w:b/>
        </w:rPr>
        <w:t>,</w:t>
      </w:r>
      <w:r>
        <w:t xml:space="preserve"> qui n’est pas intégrée dans les encours de créances bancaires consolidées, portant sur les contrats de </w:t>
      </w:r>
      <w:r w:rsidRPr="00DB46BA">
        <w:t xml:space="preserve">produits dérivés </w:t>
      </w:r>
      <w:r w:rsidR="00FC3C15">
        <w:t xml:space="preserve">à valeur brute positive </w:t>
      </w:r>
      <w:r w:rsidRPr="00DB46BA">
        <w:t>(</w:t>
      </w:r>
      <w:r w:rsidRPr="00415CE7">
        <w:rPr>
          <w:i/>
        </w:rPr>
        <w:t>derivative contracts</w:t>
      </w:r>
      <w:r w:rsidRPr="00DB46BA">
        <w:t>),</w:t>
      </w:r>
      <w:r>
        <w:t xml:space="preserve"> les garanties accordées (</w:t>
      </w:r>
      <w:r w:rsidRPr="00DB46BA">
        <w:rPr>
          <w:i/>
        </w:rPr>
        <w:t>guarantees extended</w:t>
      </w:r>
      <w:r>
        <w:t>) et les lignes de crédit (</w:t>
      </w:r>
      <w:r w:rsidRPr="00DB46BA">
        <w:rPr>
          <w:i/>
        </w:rPr>
        <w:t>credit commitments</w:t>
      </w:r>
      <w:r w:rsidR="008334A0">
        <w:t>).</w:t>
      </w:r>
    </w:p>
    <w:p w:rsidR="00BB1FD9" w:rsidRPr="00EB2B61" w:rsidRDefault="00721190" w:rsidP="00BB1FD9">
      <w:pPr>
        <w:ind w:firstLine="708"/>
        <w:jc w:val="both"/>
        <w:rPr>
          <w:sz w:val="16"/>
          <w:szCs w:val="16"/>
        </w:rPr>
      </w:pPr>
      <w:r>
        <w:t>Les produits dérivés sont</w:t>
      </w:r>
      <w:r w:rsidR="00BB1FD9">
        <w:t xml:space="preserve"> ceux recensés dans le cadre de l’enquête </w:t>
      </w:r>
      <w:r>
        <w:t>semestrielle</w:t>
      </w:r>
      <w:r w:rsidR="00BB1FD9">
        <w:t xml:space="preserve"> </w:t>
      </w:r>
      <w:r>
        <w:t xml:space="preserve">de </w:t>
      </w:r>
      <w:smartTag w:uri="urn:schemas-microsoft-com:office:smarttags" w:element="PersonName">
        <w:smartTagPr>
          <w:attr w:name="ProductID" w:val="la BRI"/>
        </w:smartTagPr>
        <w:r>
          <w:t>la BRI</w:t>
        </w:r>
      </w:smartTag>
      <w:r>
        <w:t xml:space="preserve"> sur les</w:t>
      </w:r>
      <w:r w:rsidR="00BB1FD9">
        <w:t xml:space="preserve"> produits dérivés</w:t>
      </w:r>
      <w:r>
        <w:t xml:space="preserve"> (</w:t>
      </w:r>
      <w:r w:rsidRPr="00721190">
        <w:rPr>
          <w:i/>
        </w:rPr>
        <w:t>OTC derivatives market activity</w:t>
      </w:r>
      <w:r w:rsidRPr="00721190">
        <w:t>)</w:t>
      </w:r>
      <w:r w:rsidR="00BB1FD9">
        <w:t xml:space="preserve">. Cependant, seuls les </w:t>
      </w:r>
      <w:r w:rsidR="00BE50B2" w:rsidRPr="00BE50B2">
        <w:t>dérivés de crédit</w:t>
      </w:r>
      <w:r w:rsidR="00BB1FD9" w:rsidRPr="00BE50B2">
        <w:t xml:space="preserve"> inscrits au portefeuille de n</w:t>
      </w:r>
      <w:r w:rsidR="00BB1FD9">
        <w:t xml:space="preserve">égociation sont comptabilisés. Les dérivés de crédit inscrits </w:t>
      </w:r>
      <w:r w:rsidR="00267D9D">
        <w:t xml:space="preserve">en instruments de couverture </w:t>
      </w:r>
      <w:r w:rsidR="00BB1FD9">
        <w:t>sont en revanche recensés en t</w:t>
      </w:r>
      <w:r w:rsidR="00267D9D">
        <w:t>ant que transferts de risque</w:t>
      </w:r>
      <w:r w:rsidR="00BB1FD9">
        <w:t xml:space="preserve"> par l’acheteur de protection.</w:t>
      </w:r>
    </w:p>
    <w:p w:rsidR="00417E47" w:rsidRPr="008F361E" w:rsidRDefault="00417E47" w:rsidP="00597D6E">
      <w:pPr>
        <w:ind w:firstLine="708"/>
        <w:jc w:val="both"/>
      </w:pPr>
    </w:p>
    <w:sectPr w:rsidR="00417E47" w:rsidRPr="008F361E" w:rsidSect="00BF5978">
      <w:headerReference w:type="even" r:id="rId12"/>
      <w:headerReference w:type="default" r:id="rId13"/>
      <w:footerReference w:type="even" r:id="rId14"/>
      <w:footerReference w:type="default" r:id="rId15"/>
      <w:headerReference w:type="first" r:id="rId16"/>
      <w:footerReference w:type="first" r:id="rId17"/>
      <w:pgSz w:w="11906" w:h="16838"/>
      <w:pgMar w:top="1259" w:right="1134" w:bottom="125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978" w:rsidRDefault="00BF5978">
      <w:r>
        <w:separator/>
      </w:r>
    </w:p>
  </w:endnote>
  <w:endnote w:type="continuationSeparator" w:id="0">
    <w:p w:rsidR="00BF5978" w:rsidRDefault="00BF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2943"/>
      <w:gridCol w:w="2268"/>
      <w:gridCol w:w="4536"/>
    </w:tblGrid>
    <w:tr w:rsidR="004E0901" w:rsidRPr="00180584" w:rsidTr="008E2F9E">
      <w:tc>
        <w:tcPr>
          <w:tcW w:w="2943" w:type="dxa"/>
          <w:tcBorders>
            <w:top w:val="nil"/>
            <w:left w:val="nil"/>
            <w:bottom w:val="nil"/>
            <w:right w:val="nil"/>
          </w:tcBorders>
        </w:tcPr>
        <w:p w:rsidR="004E0901" w:rsidRPr="00C544BA" w:rsidRDefault="004E0901" w:rsidP="008E2F9E">
          <w:pPr>
            <w:jc w:val="center"/>
          </w:pPr>
          <w:r w:rsidRPr="00180584">
            <w:rPr>
              <w:noProof/>
            </w:rPr>
            <w:drawing>
              <wp:inline distT="0" distB="0" distL="0" distR="0">
                <wp:extent cx="1352550" cy="828675"/>
                <wp:effectExtent l="19050" t="0" r="0" b="0"/>
                <wp:docPr id="6" name="Image 1" descr="Logo_BdF-Eurosystème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dF-Eurosystème_Couleur"/>
                        <pic:cNvPicPr>
                          <a:picLocks noChangeAspect="1" noChangeArrowheads="1"/>
                        </pic:cNvPicPr>
                      </pic:nvPicPr>
                      <pic:blipFill>
                        <a:blip r:embed="rId1"/>
                        <a:srcRect/>
                        <a:stretch>
                          <a:fillRect/>
                        </a:stretch>
                      </pic:blipFill>
                      <pic:spPr bwMode="auto">
                        <a:xfrm>
                          <a:off x="0" y="0"/>
                          <a:ext cx="1352550" cy="828675"/>
                        </a:xfrm>
                        <a:prstGeom prst="rect">
                          <a:avLst/>
                        </a:prstGeom>
                        <a:noFill/>
                        <a:ln w="9525">
                          <a:noFill/>
                          <a:miter lim="800000"/>
                          <a:headEnd/>
                          <a:tailEnd/>
                        </a:ln>
                      </pic:spPr>
                    </pic:pic>
                  </a:graphicData>
                </a:graphic>
              </wp:inline>
            </w:drawing>
          </w:r>
        </w:p>
      </w:tc>
      <w:tc>
        <w:tcPr>
          <w:tcW w:w="2268" w:type="dxa"/>
          <w:tcBorders>
            <w:top w:val="nil"/>
            <w:left w:val="nil"/>
            <w:bottom w:val="nil"/>
            <w:right w:val="nil"/>
          </w:tcBorders>
        </w:tcPr>
        <w:p w:rsidR="004E0901" w:rsidRDefault="004E0901" w:rsidP="008E2F9E"/>
        <w:p w:rsidR="004E0901" w:rsidRDefault="004E0901" w:rsidP="008E2F9E"/>
        <w:p w:rsidR="004E0901" w:rsidRPr="00180584" w:rsidRDefault="004E0901" w:rsidP="004E0901">
          <w:pPr>
            <w:jc w:val="center"/>
            <w:rPr>
              <w:rFonts w:ascii="Arial" w:hAnsi="Arial" w:cs="Arial"/>
              <w:sz w:val="16"/>
              <w:szCs w:val="16"/>
            </w:rPr>
          </w:pPr>
          <w:r>
            <w:rPr>
              <w:rFonts w:ascii="Arial" w:hAnsi="Arial" w:cs="Arial"/>
              <w:sz w:val="16"/>
              <w:szCs w:val="16"/>
            </w:rPr>
            <w:t>2</w:t>
          </w:r>
          <w:r w:rsidRPr="00180584">
            <w:rPr>
              <w:rFonts w:ascii="Arial" w:hAnsi="Arial" w:cs="Arial"/>
              <w:sz w:val="16"/>
              <w:szCs w:val="16"/>
            </w:rPr>
            <w:t xml:space="preserve"> sur </w:t>
          </w:r>
          <w:r>
            <w:rPr>
              <w:rFonts w:ascii="Arial" w:hAnsi="Arial" w:cs="Arial"/>
              <w:sz w:val="16"/>
              <w:szCs w:val="16"/>
            </w:rPr>
            <w:t>3</w:t>
          </w:r>
        </w:p>
      </w:tc>
      <w:tc>
        <w:tcPr>
          <w:tcW w:w="4536" w:type="dxa"/>
          <w:tcBorders>
            <w:top w:val="nil"/>
            <w:left w:val="nil"/>
            <w:bottom w:val="nil"/>
            <w:right w:val="nil"/>
          </w:tcBorders>
          <w:vAlign w:val="center"/>
        </w:tcPr>
        <w:p w:rsidR="004E0901" w:rsidRDefault="004E0901" w:rsidP="008E2F9E">
          <w:pPr>
            <w:pStyle w:val="Pieddepage"/>
            <w:tabs>
              <w:tab w:val="center" w:pos="5529"/>
            </w:tabs>
            <w:ind w:right="360"/>
            <w:rPr>
              <w:rFonts w:cs="Arial"/>
              <w:i/>
              <w:sz w:val="14"/>
              <w:szCs w:val="14"/>
            </w:rPr>
          </w:pPr>
        </w:p>
        <w:p w:rsidR="004E0901" w:rsidRDefault="004E0901" w:rsidP="008E2F9E">
          <w:pPr>
            <w:pStyle w:val="Pieddepage"/>
            <w:tabs>
              <w:tab w:val="clear" w:pos="4536"/>
              <w:tab w:val="center" w:pos="5529"/>
            </w:tabs>
            <w:ind w:right="360"/>
            <w:rPr>
              <w:rFonts w:ascii="Arial" w:hAnsi="Arial" w:cs="Arial"/>
              <w:i/>
              <w:sz w:val="14"/>
              <w:szCs w:val="14"/>
            </w:rPr>
          </w:pPr>
          <w:r>
            <w:rPr>
              <w:rFonts w:ascii="Arial" w:hAnsi="Arial" w:cs="Arial"/>
              <w:i/>
              <w:sz w:val="14"/>
              <w:szCs w:val="14"/>
            </w:rPr>
            <w:t xml:space="preserve">            </w:t>
          </w:r>
          <w:r w:rsidRPr="00A94C03">
            <w:rPr>
              <w:rFonts w:ascii="Arial" w:hAnsi="Arial" w:cs="Arial"/>
              <w:i/>
              <w:sz w:val="14"/>
              <w:szCs w:val="14"/>
            </w:rPr>
            <w:t>Sources : Direction de la Balance des Paiements</w:t>
          </w:r>
        </w:p>
        <w:p w:rsidR="004E0901" w:rsidRPr="00A94C03" w:rsidRDefault="004E0901" w:rsidP="008E2F9E">
          <w:pPr>
            <w:pStyle w:val="Pieddepage"/>
            <w:tabs>
              <w:tab w:val="clear" w:pos="4536"/>
              <w:tab w:val="center" w:pos="5529"/>
            </w:tabs>
            <w:ind w:right="360"/>
            <w:rPr>
              <w:rFonts w:ascii="Arial" w:hAnsi="Arial" w:cs="Arial"/>
              <w:i/>
              <w:sz w:val="14"/>
              <w:szCs w:val="14"/>
            </w:rPr>
          </w:pPr>
          <w:r>
            <w:rPr>
              <w:rFonts w:ascii="Arial" w:hAnsi="Arial" w:cs="Arial"/>
              <w:i/>
              <w:sz w:val="14"/>
              <w:szCs w:val="14"/>
            </w:rPr>
            <w:t xml:space="preserve">            </w:t>
          </w:r>
          <w:r w:rsidRPr="00A94C03">
            <w:rPr>
              <w:rFonts w:ascii="Arial" w:hAnsi="Arial" w:cs="Arial"/>
              <w:i/>
              <w:sz w:val="14"/>
              <w:szCs w:val="14"/>
            </w:rPr>
            <w:t>Contact : DGS-DBDP</w:t>
          </w:r>
        </w:p>
        <w:p w:rsidR="004E0901" w:rsidRPr="00180584" w:rsidRDefault="004E0901" w:rsidP="008E2F9E">
          <w:r>
            <w:rPr>
              <w:rFonts w:ascii="Arial" w:hAnsi="Arial" w:cs="Arial"/>
              <w:i/>
              <w:sz w:val="14"/>
              <w:szCs w:val="14"/>
            </w:rPr>
            <w:t xml:space="preserve">            </w:t>
          </w:r>
          <w:hyperlink r:id="rId2" w:history="1">
            <w:r w:rsidRPr="00A94C03">
              <w:rPr>
                <w:rStyle w:val="Lienhypertexte"/>
                <w:rFonts w:ascii="Arial" w:hAnsi="Arial" w:cs="Arial"/>
                <w:i/>
                <w:sz w:val="14"/>
                <w:szCs w:val="14"/>
              </w:rPr>
              <w:t>1470-sfi-ut@banque-france.fr</w:t>
            </w:r>
          </w:hyperlink>
        </w:p>
      </w:tc>
    </w:tr>
  </w:tbl>
  <w:p w:rsidR="00BF5978" w:rsidRPr="004E0901" w:rsidRDefault="00BF5978" w:rsidP="004E090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2943"/>
      <w:gridCol w:w="2268"/>
      <w:gridCol w:w="4536"/>
    </w:tblGrid>
    <w:tr w:rsidR="00BF5978" w:rsidRPr="00180584" w:rsidTr="00041D94">
      <w:tc>
        <w:tcPr>
          <w:tcW w:w="2943" w:type="dxa"/>
          <w:tcBorders>
            <w:top w:val="nil"/>
            <w:left w:val="nil"/>
            <w:bottom w:val="nil"/>
            <w:right w:val="nil"/>
          </w:tcBorders>
        </w:tcPr>
        <w:p w:rsidR="00BF5978" w:rsidRPr="00C544BA" w:rsidRDefault="00BF5978" w:rsidP="00041D94">
          <w:pPr>
            <w:jc w:val="center"/>
          </w:pPr>
          <w:r w:rsidRPr="00180584">
            <w:rPr>
              <w:noProof/>
            </w:rPr>
            <w:drawing>
              <wp:inline distT="0" distB="0" distL="0" distR="0">
                <wp:extent cx="1352550" cy="828675"/>
                <wp:effectExtent l="19050" t="0" r="0" b="0"/>
                <wp:docPr id="9" name="Image 1" descr="Logo_BdF-Eurosystème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dF-Eurosystème_Couleur"/>
                        <pic:cNvPicPr>
                          <a:picLocks noChangeAspect="1" noChangeArrowheads="1"/>
                        </pic:cNvPicPr>
                      </pic:nvPicPr>
                      <pic:blipFill>
                        <a:blip r:embed="rId1"/>
                        <a:srcRect/>
                        <a:stretch>
                          <a:fillRect/>
                        </a:stretch>
                      </pic:blipFill>
                      <pic:spPr bwMode="auto">
                        <a:xfrm>
                          <a:off x="0" y="0"/>
                          <a:ext cx="1352550" cy="828675"/>
                        </a:xfrm>
                        <a:prstGeom prst="rect">
                          <a:avLst/>
                        </a:prstGeom>
                        <a:noFill/>
                        <a:ln w="9525">
                          <a:noFill/>
                          <a:miter lim="800000"/>
                          <a:headEnd/>
                          <a:tailEnd/>
                        </a:ln>
                      </pic:spPr>
                    </pic:pic>
                  </a:graphicData>
                </a:graphic>
              </wp:inline>
            </w:drawing>
          </w:r>
        </w:p>
      </w:tc>
      <w:tc>
        <w:tcPr>
          <w:tcW w:w="2268" w:type="dxa"/>
          <w:tcBorders>
            <w:top w:val="nil"/>
            <w:left w:val="nil"/>
            <w:bottom w:val="nil"/>
            <w:right w:val="nil"/>
          </w:tcBorders>
        </w:tcPr>
        <w:p w:rsidR="00BF5978" w:rsidRDefault="00BF5978" w:rsidP="00041D94"/>
        <w:p w:rsidR="00BF5978" w:rsidRDefault="00BF5978" w:rsidP="00041D94"/>
        <w:p w:rsidR="00BF5978" w:rsidRPr="00180584" w:rsidRDefault="00BF5978" w:rsidP="00BF5978">
          <w:pPr>
            <w:jc w:val="center"/>
            <w:rPr>
              <w:rFonts w:ascii="Arial" w:hAnsi="Arial" w:cs="Arial"/>
              <w:sz w:val="16"/>
              <w:szCs w:val="16"/>
            </w:rPr>
          </w:pPr>
          <w:r>
            <w:rPr>
              <w:rFonts w:ascii="Arial" w:hAnsi="Arial" w:cs="Arial"/>
              <w:sz w:val="16"/>
              <w:szCs w:val="16"/>
            </w:rPr>
            <w:t>3 sur 3</w:t>
          </w:r>
        </w:p>
      </w:tc>
      <w:tc>
        <w:tcPr>
          <w:tcW w:w="4536" w:type="dxa"/>
          <w:tcBorders>
            <w:top w:val="nil"/>
            <w:left w:val="nil"/>
            <w:bottom w:val="nil"/>
            <w:right w:val="nil"/>
          </w:tcBorders>
          <w:vAlign w:val="center"/>
        </w:tcPr>
        <w:p w:rsidR="00BF5978" w:rsidRDefault="00BF5978" w:rsidP="00041D94">
          <w:pPr>
            <w:pStyle w:val="Pieddepage"/>
            <w:tabs>
              <w:tab w:val="center" w:pos="5529"/>
            </w:tabs>
            <w:ind w:right="360"/>
            <w:rPr>
              <w:rFonts w:cs="Arial"/>
              <w:i/>
              <w:sz w:val="14"/>
              <w:szCs w:val="14"/>
            </w:rPr>
          </w:pPr>
        </w:p>
        <w:p w:rsidR="00BF5978" w:rsidRDefault="00BF5978" w:rsidP="00041D94">
          <w:pPr>
            <w:pStyle w:val="Pieddepage"/>
            <w:tabs>
              <w:tab w:val="clear" w:pos="4536"/>
              <w:tab w:val="center" w:pos="5529"/>
            </w:tabs>
            <w:ind w:right="360"/>
            <w:rPr>
              <w:rFonts w:ascii="Arial" w:hAnsi="Arial" w:cs="Arial"/>
              <w:i/>
              <w:sz w:val="14"/>
              <w:szCs w:val="14"/>
            </w:rPr>
          </w:pPr>
          <w:r>
            <w:rPr>
              <w:rFonts w:ascii="Arial" w:hAnsi="Arial" w:cs="Arial"/>
              <w:i/>
              <w:sz w:val="14"/>
              <w:szCs w:val="14"/>
            </w:rPr>
            <w:t xml:space="preserve">            </w:t>
          </w:r>
          <w:r w:rsidRPr="00A94C03">
            <w:rPr>
              <w:rFonts w:ascii="Arial" w:hAnsi="Arial" w:cs="Arial"/>
              <w:i/>
              <w:sz w:val="14"/>
              <w:szCs w:val="14"/>
            </w:rPr>
            <w:t>Sources : Direction de la Balance des Paiements</w:t>
          </w:r>
        </w:p>
        <w:p w:rsidR="00BF5978" w:rsidRPr="00A94C03" w:rsidRDefault="00BF5978" w:rsidP="00041D94">
          <w:pPr>
            <w:pStyle w:val="Pieddepage"/>
            <w:tabs>
              <w:tab w:val="clear" w:pos="4536"/>
              <w:tab w:val="center" w:pos="5529"/>
            </w:tabs>
            <w:ind w:right="360"/>
            <w:rPr>
              <w:rFonts w:ascii="Arial" w:hAnsi="Arial" w:cs="Arial"/>
              <w:i/>
              <w:sz w:val="14"/>
              <w:szCs w:val="14"/>
            </w:rPr>
          </w:pPr>
          <w:r>
            <w:rPr>
              <w:rFonts w:ascii="Arial" w:hAnsi="Arial" w:cs="Arial"/>
              <w:i/>
              <w:sz w:val="14"/>
              <w:szCs w:val="14"/>
            </w:rPr>
            <w:t xml:space="preserve">            </w:t>
          </w:r>
          <w:r w:rsidRPr="00A94C03">
            <w:rPr>
              <w:rFonts w:ascii="Arial" w:hAnsi="Arial" w:cs="Arial"/>
              <w:i/>
              <w:sz w:val="14"/>
              <w:szCs w:val="14"/>
            </w:rPr>
            <w:t>Contact : DGS-DBDP</w:t>
          </w:r>
        </w:p>
        <w:p w:rsidR="00BF5978" w:rsidRPr="00180584" w:rsidRDefault="00BF5978" w:rsidP="00041D94">
          <w:r>
            <w:rPr>
              <w:rFonts w:ascii="Arial" w:hAnsi="Arial" w:cs="Arial"/>
              <w:i/>
              <w:sz w:val="14"/>
              <w:szCs w:val="14"/>
            </w:rPr>
            <w:t xml:space="preserve">            </w:t>
          </w:r>
          <w:hyperlink r:id="rId2" w:history="1">
            <w:r w:rsidRPr="00A94C03">
              <w:rPr>
                <w:rStyle w:val="Lienhypertexte"/>
                <w:rFonts w:ascii="Arial" w:hAnsi="Arial" w:cs="Arial"/>
                <w:i/>
                <w:sz w:val="14"/>
                <w:szCs w:val="14"/>
              </w:rPr>
              <w:t>1470-sfi-ut@banque-france.fr</w:t>
            </w:r>
          </w:hyperlink>
        </w:p>
      </w:tc>
    </w:tr>
  </w:tbl>
  <w:p w:rsidR="00BF5978" w:rsidRDefault="00BF5978">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2943"/>
      <w:gridCol w:w="2268"/>
      <w:gridCol w:w="4536"/>
    </w:tblGrid>
    <w:tr w:rsidR="00BF5978" w:rsidRPr="00180584" w:rsidTr="00BF5978">
      <w:tc>
        <w:tcPr>
          <w:tcW w:w="2943" w:type="dxa"/>
          <w:tcBorders>
            <w:top w:val="nil"/>
            <w:left w:val="nil"/>
            <w:bottom w:val="nil"/>
            <w:right w:val="nil"/>
          </w:tcBorders>
        </w:tcPr>
        <w:p w:rsidR="00BF5978" w:rsidRPr="00C544BA" w:rsidRDefault="00BF5978" w:rsidP="00BF5978">
          <w:pPr>
            <w:jc w:val="center"/>
          </w:pPr>
          <w:r w:rsidRPr="00180584">
            <w:rPr>
              <w:noProof/>
            </w:rPr>
            <w:drawing>
              <wp:inline distT="0" distB="0" distL="0" distR="0">
                <wp:extent cx="1352550" cy="828675"/>
                <wp:effectExtent l="19050" t="0" r="0" b="0"/>
                <wp:docPr id="2" name="Image 1" descr="Logo_BdF-Eurosystème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dF-Eurosystème_Couleur"/>
                        <pic:cNvPicPr>
                          <a:picLocks noChangeAspect="1" noChangeArrowheads="1"/>
                        </pic:cNvPicPr>
                      </pic:nvPicPr>
                      <pic:blipFill>
                        <a:blip r:embed="rId1"/>
                        <a:srcRect/>
                        <a:stretch>
                          <a:fillRect/>
                        </a:stretch>
                      </pic:blipFill>
                      <pic:spPr bwMode="auto">
                        <a:xfrm>
                          <a:off x="0" y="0"/>
                          <a:ext cx="1352550" cy="828675"/>
                        </a:xfrm>
                        <a:prstGeom prst="rect">
                          <a:avLst/>
                        </a:prstGeom>
                        <a:noFill/>
                        <a:ln w="9525">
                          <a:noFill/>
                          <a:miter lim="800000"/>
                          <a:headEnd/>
                          <a:tailEnd/>
                        </a:ln>
                      </pic:spPr>
                    </pic:pic>
                  </a:graphicData>
                </a:graphic>
              </wp:inline>
            </w:drawing>
          </w:r>
        </w:p>
      </w:tc>
      <w:tc>
        <w:tcPr>
          <w:tcW w:w="2268" w:type="dxa"/>
          <w:tcBorders>
            <w:top w:val="nil"/>
            <w:left w:val="nil"/>
            <w:bottom w:val="nil"/>
            <w:right w:val="nil"/>
          </w:tcBorders>
        </w:tcPr>
        <w:p w:rsidR="00BF5978" w:rsidRDefault="00BF5978" w:rsidP="00BF5978"/>
        <w:p w:rsidR="00BF5978" w:rsidRDefault="00BF5978" w:rsidP="00BF5978"/>
        <w:p w:rsidR="00BF5978" w:rsidRPr="00180584" w:rsidRDefault="00BF5978" w:rsidP="00174638">
          <w:pPr>
            <w:jc w:val="center"/>
            <w:rPr>
              <w:rFonts w:ascii="Arial" w:hAnsi="Arial" w:cs="Arial"/>
              <w:sz w:val="16"/>
              <w:szCs w:val="16"/>
            </w:rPr>
          </w:pPr>
          <w:r>
            <w:rPr>
              <w:rFonts w:ascii="Arial" w:hAnsi="Arial" w:cs="Arial"/>
              <w:sz w:val="16"/>
              <w:szCs w:val="16"/>
            </w:rPr>
            <w:t>1</w:t>
          </w:r>
          <w:r w:rsidRPr="00180584">
            <w:rPr>
              <w:rFonts w:ascii="Arial" w:hAnsi="Arial" w:cs="Arial"/>
              <w:sz w:val="16"/>
              <w:szCs w:val="16"/>
            </w:rPr>
            <w:t xml:space="preserve"> sur </w:t>
          </w:r>
          <w:r>
            <w:rPr>
              <w:rFonts w:ascii="Arial" w:hAnsi="Arial" w:cs="Arial"/>
              <w:sz w:val="16"/>
              <w:szCs w:val="16"/>
            </w:rPr>
            <w:t>3</w:t>
          </w:r>
        </w:p>
      </w:tc>
      <w:tc>
        <w:tcPr>
          <w:tcW w:w="4536" w:type="dxa"/>
          <w:tcBorders>
            <w:top w:val="nil"/>
            <w:left w:val="nil"/>
            <w:bottom w:val="nil"/>
            <w:right w:val="nil"/>
          </w:tcBorders>
          <w:vAlign w:val="center"/>
        </w:tcPr>
        <w:p w:rsidR="00BF5978" w:rsidRDefault="00BF5978" w:rsidP="00BF5978">
          <w:pPr>
            <w:pStyle w:val="Pieddepage"/>
            <w:tabs>
              <w:tab w:val="center" w:pos="5529"/>
            </w:tabs>
            <w:ind w:right="360"/>
            <w:rPr>
              <w:rFonts w:cs="Arial"/>
              <w:i/>
              <w:sz w:val="14"/>
              <w:szCs w:val="14"/>
            </w:rPr>
          </w:pPr>
        </w:p>
        <w:p w:rsidR="00BF5978" w:rsidRDefault="00BF5978" w:rsidP="00BF5978">
          <w:pPr>
            <w:pStyle w:val="Pieddepage"/>
            <w:tabs>
              <w:tab w:val="clear" w:pos="4536"/>
              <w:tab w:val="center" w:pos="5529"/>
            </w:tabs>
            <w:ind w:right="360"/>
            <w:rPr>
              <w:rFonts w:ascii="Arial" w:hAnsi="Arial" w:cs="Arial"/>
              <w:i/>
              <w:sz w:val="14"/>
              <w:szCs w:val="14"/>
            </w:rPr>
          </w:pPr>
          <w:r>
            <w:rPr>
              <w:rFonts w:ascii="Arial" w:hAnsi="Arial" w:cs="Arial"/>
              <w:i/>
              <w:sz w:val="14"/>
              <w:szCs w:val="14"/>
            </w:rPr>
            <w:t xml:space="preserve">            </w:t>
          </w:r>
          <w:r w:rsidRPr="00A94C03">
            <w:rPr>
              <w:rFonts w:ascii="Arial" w:hAnsi="Arial" w:cs="Arial"/>
              <w:i/>
              <w:sz w:val="14"/>
              <w:szCs w:val="14"/>
            </w:rPr>
            <w:t>Sources : Direction de la Balance des Paiements</w:t>
          </w:r>
        </w:p>
        <w:p w:rsidR="00BF5978" w:rsidRPr="00A94C03" w:rsidRDefault="00BF5978" w:rsidP="00BF5978">
          <w:pPr>
            <w:pStyle w:val="Pieddepage"/>
            <w:tabs>
              <w:tab w:val="clear" w:pos="4536"/>
              <w:tab w:val="center" w:pos="5529"/>
            </w:tabs>
            <w:ind w:right="360"/>
            <w:rPr>
              <w:rFonts w:ascii="Arial" w:hAnsi="Arial" w:cs="Arial"/>
              <w:i/>
              <w:sz w:val="14"/>
              <w:szCs w:val="14"/>
            </w:rPr>
          </w:pPr>
          <w:r>
            <w:rPr>
              <w:rFonts w:ascii="Arial" w:hAnsi="Arial" w:cs="Arial"/>
              <w:i/>
              <w:sz w:val="14"/>
              <w:szCs w:val="14"/>
            </w:rPr>
            <w:t xml:space="preserve">            </w:t>
          </w:r>
          <w:r w:rsidRPr="00A94C03">
            <w:rPr>
              <w:rFonts w:ascii="Arial" w:hAnsi="Arial" w:cs="Arial"/>
              <w:i/>
              <w:sz w:val="14"/>
              <w:szCs w:val="14"/>
            </w:rPr>
            <w:t>Contact : DGS-DBDP</w:t>
          </w:r>
        </w:p>
        <w:p w:rsidR="00BF5978" w:rsidRPr="00180584" w:rsidRDefault="00BF5978" w:rsidP="00BF5978">
          <w:r>
            <w:rPr>
              <w:rFonts w:ascii="Arial" w:hAnsi="Arial" w:cs="Arial"/>
              <w:i/>
              <w:sz w:val="14"/>
              <w:szCs w:val="14"/>
            </w:rPr>
            <w:t xml:space="preserve">            </w:t>
          </w:r>
          <w:hyperlink r:id="rId2" w:history="1">
            <w:r w:rsidRPr="00A94C03">
              <w:rPr>
                <w:rStyle w:val="Lienhypertexte"/>
                <w:rFonts w:ascii="Arial" w:hAnsi="Arial" w:cs="Arial"/>
                <w:i/>
                <w:sz w:val="14"/>
                <w:szCs w:val="14"/>
              </w:rPr>
              <w:t>1470-sfi-ut@banque-france.fr</w:t>
            </w:r>
          </w:hyperlink>
        </w:p>
      </w:tc>
    </w:tr>
  </w:tbl>
  <w:p w:rsidR="00BF5978" w:rsidRDefault="00BF59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978" w:rsidRDefault="00BF5978">
      <w:r>
        <w:separator/>
      </w:r>
    </w:p>
  </w:footnote>
  <w:footnote w:type="continuationSeparator" w:id="0">
    <w:p w:rsidR="00BF5978" w:rsidRDefault="00BF5978">
      <w:r>
        <w:continuationSeparator/>
      </w:r>
    </w:p>
  </w:footnote>
  <w:footnote w:id="1">
    <w:p w:rsidR="00BF5978" w:rsidRDefault="00BF5978">
      <w:pPr>
        <w:pStyle w:val="Notedebasdepage"/>
      </w:pPr>
      <w:r>
        <w:rPr>
          <w:rStyle w:val="Appelnotedebasdep"/>
        </w:rPr>
        <w:footnoteRef/>
      </w:r>
      <w:r>
        <w:t xml:space="preserve"> cf. infra pour une définition détaillée de ces notions.</w:t>
      </w:r>
    </w:p>
  </w:footnote>
  <w:footnote w:id="2">
    <w:p w:rsidR="00BF5978" w:rsidRDefault="00BF5978" w:rsidP="006E417E">
      <w:pPr>
        <w:pStyle w:val="Notedebasdepage"/>
        <w:jc w:val="both"/>
      </w:pPr>
      <w:r>
        <w:rPr>
          <w:rStyle w:val="Appelnotedebasdep"/>
        </w:rPr>
        <w:footnoteRef/>
      </w:r>
      <w:r>
        <w:t xml:space="preserve"> Allemagne, Autriche, Australie, Belgique, Brésil, Canada, Chili, Danemark, Espagne, États-Unis, Finlande, France, Grèce, Hong-Kong, Inde, Irlande, Italie, Japon, Luxembourg, Mexique, Norvège, Panama, Pays-Bas, Portugal, Royaume-Uni, Singapour,  Suède, Suisse, Taïwan, Turquie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78" w:rsidRDefault="00BF597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78" w:rsidRDefault="00BF597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Layout w:type="fixed"/>
      <w:tblCellMar>
        <w:left w:w="70" w:type="dxa"/>
        <w:right w:w="70" w:type="dxa"/>
      </w:tblCellMar>
      <w:tblLook w:val="0000" w:firstRow="0" w:lastRow="0" w:firstColumn="0" w:lastColumn="0" w:noHBand="0" w:noVBand="0"/>
    </w:tblPr>
    <w:tblGrid>
      <w:gridCol w:w="3596"/>
      <w:gridCol w:w="160"/>
      <w:gridCol w:w="5812"/>
    </w:tblGrid>
    <w:tr w:rsidR="00BF5978" w:rsidTr="003F49E5">
      <w:trPr>
        <w:cantSplit/>
      </w:trPr>
      <w:tc>
        <w:tcPr>
          <w:tcW w:w="3596" w:type="dxa"/>
          <w:shd w:val="pct10" w:color="auto" w:fill="FFFFFF"/>
          <w:vAlign w:val="center"/>
        </w:tcPr>
        <w:p w:rsidR="00BF5978" w:rsidRPr="00414E26" w:rsidRDefault="00BF5978" w:rsidP="003F49E5">
          <w:pPr>
            <w:jc w:val="center"/>
            <w:rPr>
              <w:rFonts w:ascii="Arial" w:hAnsi="Arial"/>
              <w:b/>
              <w:outline/>
              <w:color w:val="BFBFBF" w:themeColor="background1" w:themeShade="BF"/>
              <w:w w:val="200"/>
              <w:kern w:val="4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414E26">
            <w:rPr>
              <w:rFonts w:ascii="Arial" w:hAnsi="Arial"/>
              <w:b/>
              <w:outline/>
              <w:color w:val="BFBFBF" w:themeColor="background1" w:themeShade="BF"/>
              <w:w w:val="200"/>
              <w:kern w:val="4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METHODE</w:t>
          </w:r>
        </w:p>
      </w:tc>
      <w:tc>
        <w:tcPr>
          <w:tcW w:w="160" w:type="dxa"/>
          <w:tcBorders>
            <w:left w:val="nil"/>
          </w:tcBorders>
        </w:tcPr>
        <w:p w:rsidR="00BF5978" w:rsidRPr="00414E26" w:rsidRDefault="00BF5978" w:rsidP="003F49E5">
          <w:pPr>
            <w:pStyle w:val="Titre3"/>
            <w:spacing w:before="120"/>
            <w:rPr>
              <w:outline/>
              <w:spacing w:val="24"/>
              <w14:textOutline w14:w="9525" w14:cap="flat" w14:cmpd="sng" w14:algn="ctr">
                <w14:solidFill>
                  <w14:schemeClr w14:val="accent1"/>
                </w14:solidFill>
                <w14:prstDash w14:val="solid"/>
                <w14:round/>
              </w14:textOutline>
              <w14:textFill>
                <w14:noFill/>
              </w14:textFill>
            </w:rPr>
          </w:pPr>
        </w:p>
      </w:tc>
      <w:tc>
        <w:tcPr>
          <w:tcW w:w="5812" w:type="dxa"/>
          <w:vAlign w:val="center"/>
        </w:tcPr>
        <w:p w:rsidR="00BF5978" w:rsidRPr="00414E26" w:rsidRDefault="00BF5978" w:rsidP="00A24268">
          <w:pPr>
            <w:pStyle w:val="Titre3"/>
            <w:jc w:val="center"/>
            <w:rPr>
              <w:rFonts w:ascii="Times" w:hAnsi="Times"/>
              <w:outline/>
              <w:color w:val="FF0000"/>
              <w:sz w:val="22"/>
              <w14:textOutline w14:w="9525" w14:cap="flat" w14:cmpd="sng" w14:algn="ctr">
                <w14:solidFill>
                  <w14:srgbClr w14:val="FF0000"/>
                </w14:solidFill>
                <w14:prstDash w14:val="solid"/>
                <w14:round/>
              </w14:textOutline>
              <w14:textFill>
                <w14:noFill/>
              </w14:textFill>
            </w:rPr>
          </w:pPr>
          <w:r>
            <w:rPr>
              <w:rFonts w:ascii="Arial Black" w:hAnsi="Arial Black"/>
              <w:b w:val="0"/>
              <w:spacing w:val="24"/>
              <w:sz w:val="32"/>
            </w:rPr>
            <w:t>S</w:t>
          </w:r>
          <w:r w:rsidRPr="00E7008A">
            <w:rPr>
              <w:rFonts w:ascii="Arial Black" w:hAnsi="Arial Black"/>
              <w:b w:val="0"/>
              <w:spacing w:val="24"/>
              <w:sz w:val="32"/>
            </w:rPr>
            <w:t>tatistique</w:t>
          </w:r>
          <w:r>
            <w:rPr>
              <w:rFonts w:ascii="Arial Black" w:hAnsi="Arial Black"/>
              <w:b w:val="0"/>
              <w:spacing w:val="24"/>
              <w:sz w:val="32"/>
            </w:rPr>
            <w:t>s</w:t>
          </w:r>
          <w:r w:rsidRPr="00E7008A">
            <w:rPr>
              <w:rFonts w:ascii="Arial Black" w:hAnsi="Arial Black"/>
              <w:b w:val="0"/>
              <w:spacing w:val="24"/>
              <w:sz w:val="32"/>
            </w:rPr>
            <w:t xml:space="preserve"> </w:t>
          </w:r>
          <w:r w:rsidR="00A24268">
            <w:rPr>
              <w:rFonts w:ascii="Arial Black" w:hAnsi="Arial Black"/>
              <w:b w:val="0"/>
              <w:spacing w:val="24"/>
              <w:sz w:val="32"/>
            </w:rPr>
            <w:t xml:space="preserve">des créances </w:t>
          </w:r>
          <w:r w:rsidRPr="00E7008A">
            <w:rPr>
              <w:rFonts w:ascii="Arial Black" w:hAnsi="Arial Black"/>
              <w:b w:val="0"/>
              <w:spacing w:val="24"/>
              <w:sz w:val="32"/>
            </w:rPr>
            <w:t xml:space="preserve">bancaires </w:t>
          </w:r>
          <w:r w:rsidR="00A24268">
            <w:rPr>
              <w:rFonts w:ascii="Arial Black" w:hAnsi="Arial Black"/>
              <w:b w:val="0"/>
              <w:spacing w:val="24"/>
              <w:sz w:val="32"/>
            </w:rPr>
            <w:t>consolidées</w:t>
          </w:r>
        </w:p>
      </w:tc>
    </w:tr>
  </w:tbl>
  <w:p w:rsidR="00BF5978" w:rsidRDefault="00BF5978" w:rsidP="003F49E5">
    <w:pPr>
      <w:pStyle w:val="En-tte"/>
    </w:pPr>
  </w:p>
  <w:p w:rsidR="00BF5978" w:rsidRDefault="00BF5978" w:rsidP="003F49E5">
    <w:pPr>
      <w:pStyle w:val="En-tte"/>
    </w:pPr>
  </w:p>
  <w:p w:rsidR="00BF5978" w:rsidRPr="001F1DB7" w:rsidRDefault="00BF5978" w:rsidP="003F49E5">
    <w:pPr>
      <w:pStyle w:val="En-tte"/>
      <w:rPr>
        <w:sz w:val="18"/>
        <w:szCs w:val="18"/>
      </w:rPr>
    </w:pPr>
    <w:r w:rsidRPr="001F1DB7">
      <w:rPr>
        <w:sz w:val="18"/>
        <w:szCs w:val="18"/>
      </w:rPr>
      <w:t>F0</w:t>
    </w:r>
    <w:r w:rsidR="00A24268">
      <w:rPr>
        <w:sz w:val="18"/>
        <w:szCs w:val="18"/>
      </w:rPr>
      <w:t>9</w:t>
    </w:r>
    <w:r w:rsidRPr="001F1DB7">
      <w:rPr>
        <w:sz w:val="18"/>
        <w:szCs w:val="18"/>
      </w:rPr>
      <w:t>-026</w:t>
    </w:r>
    <w:r>
      <w:rPr>
        <w:sz w:val="18"/>
        <w:szCs w:val="18"/>
      </w:rPr>
      <w:t xml:space="preserve">                                                                                                                                                            le </w:t>
    </w:r>
    <w:r w:rsidR="00A24268">
      <w:rPr>
        <w:sz w:val="18"/>
        <w:szCs w:val="18"/>
      </w:rPr>
      <w:t>6 avril</w:t>
    </w:r>
    <w:r>
      <w:rPr>
        <w:sz w:val="18"/>
        <w:szCs w:val="18"/>
      </w:rPr>
      <w:t xml:space="preserve"> 2010</w:t>
    </w:r>
  </w:p>
  <w:p w:rsidR="00BF5978" w:rsidRDefault="00BF5978" w:rsidP="003F49E5">
    <w:pPr>
      <w:pStyle w:val="En-tte"/>
    </w:pPr>
  </w:p>
  <w:p w:rsidR="00BF5978" w:rsidRDefault="00BF597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1E5C"/>
    <w:multiLevelType w:val="hybridMultilevel"/>
    <w:tmpl w:val="0096D0F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F8B0603"/>
    <w:multiLevelType w:val="hybridMultilevel"/>
    <w:tmpl w:val="C36C8B18"/>
    <w:lvl w:ilvl="0" w:tplc="C5586108">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
    <w:nsid w:val="25172FDB"/>
    <w:multiLevelType w:val="hybridMultilevel"/>
    <w:tmpl w:val="1DCC79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9942BF"/>
    <w:multiLevelType w:val="hybridMultilevel"/>
    <w:tmpl w:val="8B907D4C"/>
    <w:lvl w:ilvl="0" w:tplc="BD167BA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nsid w:val="332C69BB"/>
    <w:multiLevelType w:val="hybridMultilevel"/>
    <w:tmpl w:val="ED00BAA4"/>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D897F3D"/>
    <w:multiLevelType w:val="hybridMultilevel"/>
    <w:tmpl w:val="9FF85732"/>
    <w:lvl w:ilvl="0" w:tplc="06960AEE">
      <w:start w:val="2"/>
      <w:numFmt w:val="bullet"/>
      <w:lvlText w:val=""/>
      <w:lvlJc w:val="left"/>
      <w:pPr>
        <w:tabs>
          <w:tab w:val="num" w:pos="1068"/>
        </w:tabs>
        <w:ind w:left="1068" w:hanging="360"/>
      </w:pPr>
      <w:rPr>
        <w:rFonts w:ascii="Symbol" w:eastAsia="Times New Roman" w:hAnsi="Symbol"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nsid w:val="4C06433C"/>
    <w:multiLevelType w:val="hybridMultilevel"/>
    <w:tmpl w:val="C2E8EE28"/>
    <w:lvl w:ilvl="0" w:tplc="1FD8258C">
      <w:start w:val="1"/>
      <w:numFmt w:val="lowerLetter"/>
      <w:lvlText w:val="%1)"/>
      <w:lvlJc w:val="left"/>
      <w:pPr>
        <w:tabs>
          <w:tab w:val="num" w:pos="1668"/>
        </w:tabs>
        <w:ind w:left="1668" w:hanging="9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7">
    <w:nsid w:val="5DA1211B"/>
    <w:multiLevelType w:val="hybridMultilevel"/>
    <w:tmpl w:val="6AE2CC4C"/>
    <w:lvl w:ilvl="0" w:tplc="DED42F48">
      <w:start w:val="1"/>
      <w:numFmt w:val="bullet"/>
      <w:lvlText w:val=""/>
      <w:lvlJc w:val="left"/>
      <w:pPr>
        <w:tabs>
          <w:tab w:val="num" w:pos="1068"/>
        </w:tabs>
        <w:ind w:left="1068" w:hanging="360"/>
      </w:pPr>
      <w:rPr>
        <w:rFonts w:ascii="Symbol" w:eastAsia="Times New Roman" w:hAnsi="Symbol"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nsid w:val="5E936DF4"/>
    <w:multiLevelType w:val="hybridMultilevel"/>
    <w:tmpl w:val="C3C0381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6B0C748A"/>
    <w:multiLevelType w:val="hybridMultilevel"/>
    <w:tmpl w:val="BED476F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26B3289"/>
    <w:multiLevelType w:val="hybridMultilevel"/>
    <w:tmpl w:val="1DDCD814"/>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8"/>
  </w:num>
  <w:num w:numId="4">
    <w:abstractNumId w:val="10"/>
  </w:num>
  <w:num w:numId="5">
    <w:abstractNumId w:val="4"/>
  </w:num>
  <w:num w:numId="6">
    <w:abstractNumId w:val="1"/>
  </w:num>
  <w:num w:numId="7">
    <w:abstractNumId w:val="5"/>
  </w:num>
  <w:num w:numId="8">
    <w:abstractNumId w:val="6"/>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0407C"/>
    <w:rsid w:val="0000624D"/>
    <w:rsid w:val="000172F3"/>
    <w:rsid w:val="00031131"/>
    <w:rsid w:val="00031434"/>
    <w:rsid w:val="00032D6E"/>
    <w:rsid w:val="00037632"/>
    <w:rsid w:val="00040B82"/>
    <w:rsid w:val="00041D94"/>
    <w:rsid w:val="000423CC"/>
    <w:rsid w:val="00045050"/>
    <w:rsid w:val="00050F38"/>
    <w:rsid w:val="00055D65"/>
    <w:rsid w:val="00064282"/>
    <w:rsid w:val="0006495D"/>
    <w:rsid w:val="0006496B"/>
    <w:rsid w:val="00065319"/>
    <w:rsid w:val="000900FE"/>
    <w:rsid w:val="00091545"/>
    <w:rsid w:val="00093520"/>
    <w:rsid w:val="000B1E25"/>
    <w:rsid w:val="000B29E0"/>
    <w:rsid w:val="000B6A6F"/>
    <w:rsid w:val="000C3EA1"/>
    <w:rsid w:val="000C5A2E"/>
    <w:rsid w:val="000C7AD4"/>
    <w:rsid w:val="000D201B"/>
    <w:rsid w:val="000D7E3F"/>
    <w:rsid w:val="000E005E"/>
    <w:rsid w:val="000F4920"/>
    <w:rsid w:val="000F7A2E"/>
    <w:rsid w:val="00101660"/>
    <w:rsid w:val="00102F16"/>
    <w:rsid w:val="0010681C"/>
    <w:rsid w:val="001102E2"/>
    <w:rsid w:val="001136D6"/>
    <w:rsid w:val="00125B29"/>
    <w:rsid w:val="00126443"/>
    <w:rsid w:val="001272E4"/>
    <w:rsid w:val="001337E4"/>
    <w:rsid w:val="00135408"/>
    <w:rsid w:val="001355BF"/>
    <w:rsid w:val="00141051"/>
    <w:rsid w:val="00142016"/>
    <w:rsid w:val="00151A50"/>
    <w:rsid w:val="001569C6"/>
    <w:rsid w:val="0016450A"/>
    <w:rsid w:val="00167CC6"/>
    <w:rsid w:val="0017314E"/>
    <w:rsid w:val="00174638"/>
    <w:rsid w:val="00176431"/>
    <w:rsid w:val="00177006"/>
    <w:rsid w:val="00177619"/>
    <w:rsid w:val="00184388"/>
    <w:rsid w:val="00184552"/>
    <w:rsid w:val="00186BB3"/>
    <w:rsid w:val="001873BD"/>
    <w:rsid w:val="00190673"/>
    <w:rsid w:val="001950AA"/>
    <w:rsid w:val="001A6E02"/>
    <w:rsid w:val="001B0F88"/>
    <w:rsid w:val="001B1B35"/>
    <w:rsid w:val="001B4231"/>
    <w:rsid w:val="001D565F"/>
    <w:rsid w:val="001E75F3"/>
    <w:rsid w:val="001E762C"/>
    <w:rsid w:val="001F1B4D"/>
    <w:rsid w:val="001F1D51"/>
    <w:rsid w:val="002060C0"/>
    <w:rsid w:val="0022152A"/>
    <w:rsid w:val="00225AF9"/>
    <w:rsid w:val="00230733"/>
    <w:rsid w:val="00230ECE"/>
    <w:rsid w:val="00230F88"/>
    <w:rsid w:val="00233C59"/>
    <w:rsid w:val="002363F4"/>
    <w:rsid w:val="00241767"/>
    <w:rsid w:val="002445EB"/>
    <w:rsid w:val="00247FE3"/>
    <w:rsid w:val="00251BC0"/>
    <w:rsid w:val="0025269E"/>
    <w:rsid w:val="0025289F"/>
    <w:rsid w:val="00252D5A"/>
    <w:rsid w:val="00253727"/>
    <w:rsid w:val="002559E5"/>
    <w:rsid w:val="00262AAD"/>
    <w:rsid w:val="002660CF"/>
    <w:rsid w:val="00267C34"/>
    <w:rsid w:val="00267D9D"/>
    <w:rsid w:val="00271AE3"/>
    <w:rsid w:val="00276E34"/>
    <w:rsid w:val="002803DE"/>
    <w:rsid w:val="00286CDB"/>
    <w:rsid w:val="002871B5"/>
    <w:rsid w:val="00290FB5"/>
    <w:rsid w:val="002A231F"/>
    <w:rsid w:val="002A36EE"/>
    <w:rsid w:val="002B693C"/>
    <w:rsid w:val="002D0705"/>
    <w:rsid w:val="002D4C76"/>
    <w:rsid w:val="002D5AEF"/>
    <w:rsid w:val="002F092F"/>
    <w:rsid w:val="003037D8"/>
    <w:rsid w:val="00311B80"/>
    <w:rsid w:val="00311ECE"/>
    <w:rsid w:val="0031403C"/>
    <w:rsid w:val="0032013A"/>
    <w:rsid w:val="00320D50"/>
    <w:rsid w:val="00322B0F"/>
    <w:rsid w:val="00341F63"/>
    <w:rsid w:val="00342441"/>
    <w:rsid w:val="00347A13"/>
    <w:rsid w:val="0035131B"/>
    <w:rsid w:val="00363C65"/>
    <w:rsid w:val="0036509E"/>
    <w:rsid w:val="003732A1"/>
    <w:rsid w:val="00374F1E"/>
    <w:rsid w:val="00382C43"/>
    <w:rsid w:val="003838BE"/>
    <w:rsid w:val="003924D2"/>
    <w:rsid w:val="00393166"/>
    <w:rsid w:val="003935DA"/>
    <w:rsid w:val="00395434"/>
    <w:rsid w:val="003A22C4"/>
    <w:rsid w:val="003A476F"/>
    <w:rsid w:val="003A5A50"/>
    <w:rsid w:val="003B3849"/>
    <w:rsid w:val="003C0BDF"/>
    <w:rsid w:val="003C585C"/>
    <w:rsid w:val="003C7106"/>
    <w:rsid w:val="003D0E4E"/>
    <w:rsid w:val="003D3E76"/>
    <w:rsid w:val="003E0E24"/>
    <w:rsid w:val="003E19ED"/>
    <w:rsid w:val="003F0D24"/>
    <w:rsid w:val="003F30FA"/>
    <w:rsid w:val="003F49E5"/>
    <w:rsid w:val="003F571B"/>
    <w:rsid w:val="00402BAF"/>
    <w:rsid w:val="00406263"/>
    <w:rsid w:val="00414E26"/>
    <w:rsid w:val="00415CE7"/>
    <w:rsid w:val="00417E47"/>
    <w:rsid w:val="00420E33"/>
    <w:rsid w:val="0042632B"/>
    <w:rsid w:val="0043207C"/>
    <w:rsid w:val="004349EE"/>
    <w:rsid w:val="00444AF5"/>
    <w:rsid w:val="004747D0"/>
    <w:rsid w:val="004751E8"/>
    <w:rsid w:val="00475277"/>
    <w:rsid w:val="0048101C"/>
    <w:rsid w:val="0048234C"/>
    <w:rsid w:val="00486FE6"/>
    <w:rsid w:val="00487D80"/>
    <w:rsid w:val="00491263"/>
    <w:rsid w:val="00494655"/>
    <w:rsid w:val="004A00CD"/>
    <w:rsid w:val="004A4895"/>
    <w:rsid w:val="004A6348"/>
    <w:rsid w:val="004B0340"/>
    <w:rsid w:val="004C77EF"/>
    <w:rsid w:val="004D6A26"/>
    <w:rsid w:val="004E0901"/>
    <w:rsid w:val="004E48D9"/>
    <w:rsid w:val="005003F2"/>
    <w:rsid w:val="00513892"/>
    <w:rsid w:val="00513940"/>
    <w:rsid w:val="0051544B"/>
    <w:rsid w:val="00520AFC"/>
    <w:rsid w:val="005219C3"/>
    <w:rsid w:val="00527CA1"/>
    <w:rsid w:val="00554E13"/>
    <w:rsid w:val="00560FF2"/>
    <w:rsid w:val="00566C44"/>
    <w:rsid w:val="005757CB"/>
    <w:rsid w:val="00576C95"/>
    <w:rsid w:val="0058450A"/>
    <w:rsid w:val="00584DBA"/>
    <w:rsid w:val="0059046B"/>
    <w:rsid w:val="00591E71"/>
    <w:rsid w:val="00597D6E"/>
    <w:rsid w:val="005A0377"/>
    <w:rsid w:val="005B0FA9"/>
    <w:rsid w:val="005B203B"/>
    <w:rsid w:val="005C1D44"/>
    <w:rsid w:val="005C40FD"/>
    <w:rsid w:val="005C4A79"/>
    <w:rsid w:val="005C58B3"/>
    <w:rsid w:val="005C5EA1"/>
    <w:rsid w:val="005D43DE"/>
    <w:rsid w:val="005D60FB"/>
    <w:rsid w:val="005D7428"/>
    <w:rsid w:val="005E056F"/>
    <w:rsid w:val="005E6717"/>
    <w:rsid w:val="006078CD"/>
    <w:rsid w:val="00610B1E"/>
    <w:rsid w:val="00616236"/>
    <w:rsid w:val="00623A90"/>
    <w:rsid w:val="00625CD3"/>
    <w:rsid w:val="0062750E"/>
    <w:rsid w:val="0063756F"/>
    <w:rsid w:val="00644E6A"/>
    <w:rsid w:val="006557AC"/>
    <w:rsid w:val="0066096F"/>
    <w:rsid w:val="006610C4"/>
    <w:rsid w:val="00663FA3"/>
    <w:rsid w:val="00666561"/>
    <w:rsid w:val="00676213"/>
    <w:rsid w:val="0067699B"/>
    <w:rsid w:val="00680F8C"/>
    <w:rsid w:val="00681216"/>
    <w:rsid w:val="006847F3"/>
    <w:rsid w:val="00690B92"/>
    <w:rsid w:val="0069374E"/>
    <w:rsid w:val="0069574B"/>
    <w:rsid w:val="00696277"/>
    <w:rsid w:val="0069723C"/>
    <w:rsid w:val="006A0FC2"/>
    <w:rsid w:val="006A3463"/>
    <w:rsid w:val="006B0FE3"/>
    <w:rsid w:val="006B473C"/>
    <w:rsid w:val="006B608D"/>
    <w:rsid w:val="006B6901"/>
    <w:rsid w:val="006C4212"/>
    <w:rsid w:val="006C7676"/>
    <w:rsid w:val="006D50FA"/>
    <w:rsid w:val="006E12E3"/>
    <w:rsid w:val="006E417E"/>
    <w:rsid w:val="006E7DFD"/>
    <w:rsid w:val="006F4FB9"/>
    <w:rsid w:val="006F7B53"/>
    <w:rsid w:val="006F7D62"/>
    <w:rsid w:val="00705994"/>
    <w:rsid w:val="00707853"/>
    <w:rsid w:val="00710873"/>
    <w:rsid w:val="00711332"/>
    <w:rsid w:val="0071379A"/>
    <w:rsid w:val="00715CBE"/>
    <w:rsid w:val="00715F3E"/>
    <w:rsid w:val="00721190"/>
    <w:rsid w:val="0072553E"/>
    <w:rsid w:val="0073028E"/>
    <w:rsid w:val="00732FF5"/>
    <w:rsid w:val="00733543"/>
    <w:rsid w:val="00740F9B"/>
    <w:rsid w:val="007435DF"/>
    <w:rsid w:val="00750735"/>
    <w:rsid w:val="0075268B"/>
    <w:rsid w:val="007577CA"/>
    <w:rsid w:val="007617E3"/>
    <w:rsid w:val="00766A72"/>
    <w:rsid w:val="007708D2"/>
    <w:rsid w:val="0077463E"/>
    <w:rsid w:val="00775E44"/>
    <w:rsid w:val="0078749B"/>
    <w:rsid w:val="00796B21"/>
    <w:rsid w:val="007A1622"/>
    <w:rsid w:val="007A278F"/>
    <w:rsid w:val="007A668C"/>
    <w:rsid w:val="007C0CB9"/>
    <w:rsid w:val="007C16B1"/>
    <w:rsid w:val="007C454E"/>
    <w:rsid w:val="007C610B"/>
    <w:rsid w:val="007D7F2D"/>
    <w:rsid w:val="007E0CE6"/>
    <w:rsid w:val="007E2A05"/>
    <w:rsid w:val="007F36B1"/>
    <w:rsid w:val="007F5043"/>
    <w:rsid w:val="007F6394"/>
    <w:rsid w:val="00804E33"/>
    <w:rsid w:val="0081095D"/>
    <w:rsid w:val="00811C68"/>
    <w:rsid w:val="00812FD2"/>
    <w:rsid w:val="00815625"/>
    <w:rsid w:val="00823985"/>
    <w:rsid w:val="008274FA"/>
    <w:rsid w:val="008334A0"/>
    <w:rsid w:val="0083617E"/>
    <w:rsid w:val="0085549D"/>
    <w:rsid w:val="008561B1"/>
    <w:rsid w:val="00861EAD"/>
    <w:rsid w:val="008637B5"/>
    <w:rsid w:val="00864C25"/>
    <w:rsid w:val="00881272"/>
    <w:rsid w:val="008876A0"/>
    <w:rsid w:val="008A1F8A"/>
    <w:rsid w:val="008B2D68"/>
    <w:rsid w:val="008C6B04"/>
    <w:rsid w:val="008D61E4"/>
    <w:rsid w:val="008E39B8"/>
    <w:rsid w:val="008E529C"/>
    <w:rsid w:val="008E5A66"/>
    <w:rsid w:val="008E7879"/>
    <w:rsid w:val="008F1792"/>
    <w:rsid w:val="008F361E"/>
    <w:rsid w:val="008F3809"/>
    <w:rsid w:val="008F4C8B"/>
    <w:rsid w:val="008F6D3B"/>
    <w:rsid w:val="0090407C"/>
    <w:rsid w:val="009065A2"/>
    <w:rsid w:val="00920A1F"/>
    <w:rsid w:val="00920AA7"/>
    <w:rsid w:val="00924A51"/>
    <w:rsid w:val="009348D1"/>
    <w:rsid w:val="00936A05"/>
    <w:rsid w:val="00942FD4"/>
    <w:rsid w:val="00952ABD"/>
    <w:rsid w:val="00963F66"/>
    <w:rsid w:val="009719DF"/>
    <w:rsid w:val="00971E08"/>
    <w:rsid w:val="00976956"/>
    <w:rsid w:val="009831B3"/>
    <w:rsid w:val="009905AA"/>
    <w:rsid w:val="00995C56"/>
    <w:rsid w:val="009A5B70"/>
    <w:rsid w:val="009A7E96"/>
    <w:rsid w:val="009B76E9"/>
    <w:rsid w:val="009D31C5"/>
    <w:rsid w:val="009D5E13"/>
    <w:rsid w:val="009D6643"/>
    <w:rsid w:val="00A04F64"/>
    <w:rsid w:val="00A072BC"/>
    <w:rsid w:val="00A10E89"/>
    <w:rsid w:val="00A11428"/>
    <w:rsid w:val="00A20B28"/>
    <w:rsid w:val="00A24268"/>
    <w:rsid w:val="00A345C5"/>
    <w:rsid w:val="00A35D6B"/>
    <w:rsid w:val="00A45507"/>
    <w:rsid w:val="00A53A57"/>
    <w:rsid w:val="00A76CA1"/>
    <w:rsid w:val="00A77047"/>
    <w:rsid w:val="00A777BA"/>
    <w:rsid w:val="00A80E89"/>
    <w:rsid w:val="00A923C2"/>
    <w:rsid w:val="00A92FD0"/>
    <w:rsid w:val="00A934FE"/>
    <w:rsid w:val="00A94CCC"/>
    <w:rsid w:val="00AA0BD5"/>
    <w:rsid w:val="00AA29A8"/>
    <w:rsid w:val="00AA7EDF"/>
    <w:rsid w:val="00AA7FA0"/>
    <w:rsid w:val="00AB1F2B"/>
    <w:rsid w:val="00AB2A31"/>
    <w:rsid w:val="00AB45CA"/>
    <w:rsid w:val="00AB6244"/>
    <w:rsid w:val="00AC6A74"/>
    <w:rsid w:val="00AD1298"/>
    <w:rsid w:val="00AD3EEF"/>
    <w:rsid w:val="00AD48D6"/>
    <w:rsid w:val="00AD530B"/>
    <w:rsid w:val="00AE0224"/>
    <w:rsid w:val="00AE3818"/>
    <w:rsid w:val="00AF2D0A"/>
    <w:rsid w:val="00AF58A3"/>
    <w:rsid w:val="00AF63AA"/>
    <w:rsid w:val="00B010BE"/>
    <w:rsid w:val="00B139FE"/>
    <w:rsid w:val="00B15D35"/>
    <w:rsid w:val="00B17F85"/>
    <w:rsid w:val="00B21A03"/>
    <w:rsid w:val="00B22889"/>
    <w:rsid w:val="00B24ADA"/>
    <w:rsid w:val="00B53501"/>
    <w:rsid w:val="00B554FD"/>
    <w:rsid w:val="00B61575"/>
    <w:rsid w:val="00B756E2"/>
    <w:rsid w:val="00B75B8F"/>
    <w:rsid w:val="00B8559D"/>
    <w:rsid w:val="00B85D65"/>
    <w:rsid w:val="00BA6C78"/>
    <w:rsid w:val="00BB1FD9"/>
    <w:rsid w:val="00BB2B39"/>
    <w:rsid w:val="00BB6CE1"/>
    <w:rsid w:val="00BC2EB3"/>
    <w:rsid w:val="00BC3015"/>
    <w:rsid w:val="00BC4EFA"/>
    <w:rsid w:val="00BD1B8D"/>
    <w:rsid w:val="00BD27B0"/>
    <w:rsid w:val="00BD3FA7"/>
    <w:rsid w:val="00BE50B2"/>
    <w:rsid w:val="00BF5978"/>
    <w:rsid w:val="00BF644A"/>
    <w:rsid w:val="00BF7B79"/>
    <w:rsid w:val="00C0302A"/>
    <w:rsid w:val="00C074E2"/>
    <w:rsid w:val="00C12D0C"/>
    <w:rsid w:val="00C16804"/>
    <w:rsid w:val="00C26D23"/>
    <w:rsid w:val="00C40DEA"/>
    <w:rsid w:val="00C4319D"/>
    <w:rsid w:val="00C458B6"/>
    <w:rsid w:val="00C54975"/>
    <w:rsid w:val="00C72C8A"/>
    <w:rsid w:val="00C80505"/>
    <w:rsid w:val="00C97E66"/>
    <w:rsid w:val="00CC0405"/>
    <w:rsid w:val="00CC20DB"/>
    <w:rsid w:val="00CC3AE8"/>
    <w:rsid w:val="00CC4017"/>
    <w:rsid w:val="00CD150A"/>
    <w:rsid w:val="00CD2AEE"/>
    <w:rsid w:val="00CD2C92"/>
    <w:rsid w:val="00CD7A49"/>
    <w:rsid w:val="00CE0F61"/>
    <w:rsid w:val="00CF32A9"/>
    <w:rsid w:val="00CF7130"/>
    <w:rsid w:val="00D03B1E"/>
    <w:rsid w:val="00D04D50"/>
    <w:rsid w:val="00D05E24"/>
    <w:rsid w:val="00D15D7C"/>
    <w:rsid w:val="00D25AB9"/>
    <w:rsid w:val="00D404F7"/>
    <w:rsid w:val="00D4084A"/>
    <w:rsid w:val="00D42149"/>
    <w:rsid w:val="00D5500C"/>
    <w:rsid w:val="00D55716"/>
    <w:rsid w:val="00D57840"/>
    <w:rsid w:val="00D77583"/>
    <w:rsid w:val="00D82C50"/>
    <w:rsid w:val="00D8661C"/>
    <w:rsid w:val="00DA4664"/>
    <w:rsid w:val="00DA47A2"/>
    <w:rsid w:val="00DB18D5"/>
    <w:rsid w:val="00DB1A24"/>
    <w:rsid w:val="00DB4274"/>
    <w:rsid w:val="00DB46BA"/>
    <w:rsid w:val="00DC0AF9"/>
    <w:rsid w:val="00DC5791"/>
    <w:rsid w:val="00DC7DEF"/>
    <w:rsid w:val="00DE5FB6"/>
    <w:rsid w:val="00DE618C"/>
    <w:rsid w:val="00DF0E6C"/>
    <w:rsid w:val="00DF65EC"/>
    <w:rsid w:val="00E015FF"/>
    <w:rsid w:val="00E02A89"/>
    <w:rsid w:val="00E212CF"/>
    <w:rsid w:val="00E217E7"/>
    <w:rsid w:val="00E2429F"/>
    <w:rsid w:val="00E3137F"/>
    <w:rsid w:val="00E31403"/>
    <w:rsid w:val="00E31EDD"/>
    <w:rsid w:val="00E32849"/>
    <w:rsid w:val="00E33B14"/>
    <w:rsid w:val="00E432C4"/>
    <w:rsid w:val="00E43FC9"/>
    <w:rsid w:val="00E65A07"/>
    <w:rsid w:val="00E850E7"/>
    <w:rsid w:val="00E85F60"/>
    <w:rsid w:val="00E94DFE"/>
    <w:rsid w:val="00EA1843"/>
    <w:rsid w:val="00EA36E6"/>
    <w:rsid w:val="00EA380A"/>
    <w:rsid w:val="00EB2B61"/>
    <w:rsid w:val="00EB669F"/>
    <w:rsid w:val="00EC2EF8"/>
    <w:rsid w:val="00EC3DFC"/>
    <w:rsid w:val="00EC4FCF"/>
    <w:rsid w:val="00ED14D2"/>
    <w:rsid w:val="00EE17C3"/>
    <w:rsid w:val="00EE2BD6"/>
    <w:rsid w:val="00EE3165"/>
    <w:rsid w:val="00EF42D0"/>
    <w:rsid w:val="00EF68B8"/>
    <w:rsid w:val="00F12860"/>
    <w:rsid w:val="00F12B74"/>
    <w:rsid w:val="00F14240"/>
    <w:rsid w:val="00F20833"/>
    <w:rsid w:val="00F254F7"/>
    <w:rsid w:val="00F26B35"/>
    <w:rsid w:val="00F348E9"/>
    <w:rsid w:val="00F404BC"/>
    <w:rsid w:val="00F515CB"/>
    <w:rsid w:val="00F55925"/>
    <w:rsid w:val="00F618E7"/>
    <w:rsid w:val="00F65095"/>
    <w:rsid w:val="00F66E12"/>
    <w:rsid w:val="00F67E86"/>
    <w:rsid w:val="00F71D24"/>
    <w:rsid w:val="00F77040"/>
    <w:rsid w:val="00F80EF5"/>
    <w:rsid w:val="00F83F50"/>
    <w:rsid w:val="00F8543F"/>
    <w:rsid w:val="00F86931"/>
    <w:rsid w:val="00FA135F"/>
    <w:rsid w:val="00FA4351"/>
    <w:rsid w:val="00FB113D"/>
    <w:rsid w:val="00FB363B"/>
    <w:rsid w:val="00FB4B47"/>
    <w:rsid w:val="00FB4BA7"/>
    <w:rsid w:val="00FC21CA"/>
    <w:rsid w:val="00FC3C15"/>
    <w:rsid w:val="00FC6794"/>
    <w:rsid w:val="00FD60E6"/>
    <w:rsid w:val="00FE6BDA"/>
    <w:rsid w:val="00FE70BA"/>
    <w:rsid w:val="00FF13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AE3"/>
    <w:rPr>
      <w:sz w:val="24"/>
      <w:szCs w:val="24"/>
    </w:rPr>
  </w:style>
  <w:style w:type="paragraph" w:styleId="Titre1">
    <w:name w:val="heading 1"/>
    <w:basedOn w:val="Normal"/>
    <w:next w:val="Normal"/>
    <w:qFormat/>
    <w:rsid w:val="00271AE3"/>
    <w:pPr>
      <w:keepNext/>
      <w:jc w:val="center"/>
      <w:outlineLvl w:val="0"/>
    </w:pPr>
    <w:rPr>
      <w:b/>
      <w:bCs/>
      <w:sz w:val="22"/>
    </w:rPr>
  </w:style>
  <w:style w:type="paragraph" w:styleId="Titre3">
    <w:name w:val="heading 3"/>
    <w:basedOn w:val="Normal"/>
    <w:next w:val="Normal"/>
    <w:link w:val="Titre3Car"/>
    <w:unhideWhenUsed/>
    <w:qFormat/>
    <w:rsid w:val="007E2A0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71AE3"/>
    <w:pPr>
      <w:tabs>
        <w:tab w:val="left" w:pos="8040"/>
      </w:tabs>
    </w:pPr>
    <w:rPr>
      <w:sz w:val="22"/>
    </w:rPr>
  </w:style>
  <w:style w:type="paragraph" w:styleId="Pieddepage">
    <w:name w:val="footer"/>
    <w:basedOn w:val="Normal"/>
    <w:link w:val="PieddepageCar"/>
    <w:uiPriority w:val="99"/>
    <w:rsid w:val="00271AE3"/>
    <w:pPr>
      <w:tabs>
        <w:tab w:val="center" w:pos="4536"/>
        <w:tab w:val="right" w:pos="9072"/>
      </w:tabs>
    </w:pPr>
  </w:style>
  <w:style w:type="character" w:styleId="Numrodepage">
    <w:name w:val="page number"/>
    <w:basedOn w:val="Policepardfaut"/>
    <w:rsid w:val="00271AE3"/>
  </w:style>
  <w:style w:type="paragraph" w:styleId="Textedebulles">
    <w:name w:val="Balloon Text"/>
    <w:basedOn w:val="Normal"/>
    <w:semiHidden/>
    <w:rsid w:val="00271AE3"/>
    <w:rPr>
      <w:rFonts w:ascii="Tahoma" w:hAnsi="Tahoma" w:cs="Tahoma"/>
      <w:sz w:val="16"/>
      <w:szCs w:val="16"/>
    </w:rPr>
  </w:style>
  <w:style w:type="paragraph" w:styleId="Notedebasdepage">
    <w:name w:val="footnote text"/>
    <w:basedOn w:val="Normal"/>
    <w:semiHidden/>
    <w:rsid w:val="00271AE3"/>
    <w:rPr>
      <w:sz w:val="20"/>
      <w:szCs w:val="20"/>
    </w:rPr>
  </w:style>
  <w:style w:type="character" w:styleId="Appelnotedebasdep">
    <w:name w:val="footnote reference"/>
    <w:basedOn w:val="Policepardfaut"/>
    <w:semiHidden/>
    <w:rsid w:val="00271AE3"/>
    <w:rPr>
      <w:vertAlign w:val="superscript"/>
    </w:rPr>
  </w:style>
  <w:style w:type="paragraph" w:styleId="Corpsdetexte2">
    <w:name w:val="Body Text 2"/>
    <w:basedOn w:val="Normal"/>
    <w:rsid w:val="00271AE3"/>
    <w:pPr>
      <w:tabs>
        <w:tab w:val="left" w:pos="8040"/>
      </w:tabs>
      <w:jc w:val="both"/>
    </w:pPr>
  </w:style>
  <w:style w:type="paragraph" w:styleId="Corpsdetexte3">
    <w:name w:val="Body Text 3"/>
    <w:basedOn w:val="Normal"/>
    <w:rsid w:val="00271AE3"/>
    <w:pPr>
      <w:jc w:val="both"/>
    </w:pPr>
    <w:rPr>
      <w:sz w:val="22"/>
    </w:rPr>
  </w:style>
  <w:style w:type="character" w:styleId="Accentuation">
    <w:name w:val="Emphasis"/>
    <w:basedOn w:val="Policepardfaut"/>
    <w:qFormat/>
    <w:rsid w:val="002D5AEF"/>
    <w:rPr>
      <w:b/>
      <w:bCs/>
      <w:i w:val="0"/>
      <w:iCs w:val="0"/>
    </w:rPr>
  </w:style>
  <w:style w:type="character" w:styleId="Lienhypertexte">
    <w:name w:val="Hyperlink"/>
    <w:basedOn w:val="Policepardfaut"/>
    <w:rsid w:val="006B473C"/>
    <w:rPr>
      <w:color w:val="0000FF"/>
      <w:u w:val="single"/>
    </w:rPr>
  </w:style>
  <w:style w:type="character" w:styleId="Lienhypertextesuivivisit">
    <w:name w:val="FollowedHyperlink"/>
    <w:basedOn w:val="Policepardfaut"/>
    <w:rsid w:val="006B473C"/>
    <w:rPr>
      <w:color w:val="606420"/>
      <w:u w:val="single"/>
    </w:rPr>
  </w:style>
  <w:style w:type="character" w:customStyle="1" w:styleId="Titre3Car">
    <w:name w:val="Titre 3 Car"/>
    <w:basedOn w:val="Policepardfaut"/>
    <w:link w:val="Titre3"/>
    <w:rsid w:val="007E2A05"/>
    <w:rPr>
      <w:rFonts w:asciiTheme="majorHAnsi" w:eastAsiaTheme="majorEastAsia" w:hAnsiTheme="majorHAnsi" w:cstheme="majorBidi"/>
      <w:b/>
      <w:bCs/>
      <w:color w:val="4F81BD" w:themeColor="accent1"/>
      <w:sz w:val="24"/>
      <w:szCs w:val="24"/>
    </w:rPr>
  </w:style>
  <w:style w:type="paragraph" w:styleId="En-tte">
    <w:name w:val="header"/>
    <w:basedOn w:val="Normal"/>
    <w:link w:val="En-tteCar"/>
    <w:uiPriority w:val="99"/>
    <w:rsid w:val="007E2A05"/>
    <w:pPr>
      <w:tabs>
        <w:tab w:val="center" w:pos="4536"/>
        <w:tab w:val="right" w:pos="9072"/>
      </w:tabs>
    </w:pPr>
  </w:style>
  <w:style w:type="character" w:customStyle="1" w:styleId="En-tteCar">
    <w:name w:val="En-tête Car"/>
    <w:basedOn w:val="Policepardfaut"/>
    <w:link w:val="En-tte"/>
    <w:uiPriority w:val="99"/>
    <w:rsid w:val="007E2A05"/>
    <w:rPr>
      <w:sz w:val="24"/>
      <w:szCs w:val="24"/>
    </w:rPr>
  </w:style>
  <w:style w:type="character" w:customStyle="1" w:styleId="PieddepageCar">
    <w:name w:val="Pied de page Car"/>
    <w:basedOn w:val="Policepardfaut"/>
    <w:link w:val="Pieddepage"/>
    <w:uiPriority w:val="99"/>
    <w:rsid w:val="00041D94"/>
    <w:rPr>
      <w:sz w:val="24"/>
      <w:szCs w:val="24"/>
    </w:rPr>
  </w:style>
  <w:style w:type="table" w:styleId="Grilledutableau">
    <w:name w:val="Table Grid"/>
    <w:basedOn w:val="TableauNormal"/>
    <w:rsid w:val="00041D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AE3"/>
    <w:rPr>
      <w:sz w:val="24"/>
      <w:szCs w:val="24"/>
    </w:rPr>
  </w:style>
  <w:style w:type="paragraph" w:styleId="Titre1">
    <w:name w:val="heading 1"/>
    <w:basedOn w:val="Normal"/>
    <w:next w:val="Normal"/>
    <w:qFormat/>
    <w:rsid w:val="00271AE3"/>
    <w:pPr>
      <w:keepNext/>
      <w:jc w:val="center"/>
      <w:outlineLvl w:val="0"/>
    </w:pPr>
    <w:rPr>
      <w:b/>
      <w:bCs/>
      <w:sz w:val="22"/>
    </w:rPr>
  </w:style>
  <w:style w:type="paragraph" w:styleId="Titre3">
    <w:name w:val="heading 3"/>
    <w:basedOn w:val="Normal"/>
    <w:next w:val="Normal"/>
    <w:link w:val="Titre3Car"/>
    <w:unhideWhenUsed/>
    <w:qFormat/>
    <w:rsid w:val="007E2A0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71AE3"/>
    <w:pPr>
      <w:tabs>
        <w:tab w:val="left" w:pos="8040"/>
      </w:tabs>
    </w:pPr>
    <w:rPr>
      <w:sz w:val="22"/>
    </w:rPr>
  </w:style>
  <w:style w:type="paragraph" w:styleId="Pieddepage">
    <w:name w:val="footer"/>
    <w:basedOn w:val="Normal"/>
    <w:link w:val="PieddepageCar"/>
    <w:uiPriority w:val="99"/>
    <w:rsid w:val="00271AE3"/>
    <w:pPr>
      <w:tabs>
        <w:tab w:val="center" w:pos="4536"/>
        <w:tab w:val="right" w:pos="9072"/>
      </w:tabs>
    </w:pPr>
  </w:style>
  <w:style w:type="character" w:styleId="Numrodepage">
    <w:name w:val="page number"/>
    <w:basedOn w:val="Policepardfaut"/>
    <w:rsid w:val="00271AE3"/>
  </w:style>
  <w:style w:type="paragraph" w:styleId="Textedebulles">
    <w:name w:val="Balloon Text"/>
    <w:basedOn w:val="Normal"/>
    <w:semiHidden/>
    <w:rsid w:val="00271AE3"/>
    <w:rPr>
      <w:rFonts w:ascii="Tahoma" w:hAnsi="Tahoma" w:cs="Tahoma"/>
      <w:sz w:val="16"/>
      <w:szCs w:val="16"/>
    </w:rPr>
  </w:style>
  <w:style w:type="paragraph" w:styleId="Notedebasdepage">
    <w:name w:val="footnote text"/>
    <w:basedOn w:val="Normal"/>
    <w:semiHidden/>
    <w:rsid w:val="00271AE3"/>
    <w:rPr>
      <w:sz w:val="20"/>
      <w:szCs w:val="20"/>
    </w:rPr>
  </w:style>
  <w:style w:type="character" w:styleId="Appelnotedebasdep">
    <w:name w:val="footnote reference"/>
    <w:basedOn w:val="Policepardfaut"/>
    <w:semiHidden/>
    <w:rsid w:val="00271AE3"/>
    <w:rPr>
      <w:vertAlign w:val="superscript"/>
    </w:rPr>
  </w:style>
  <w:style w:type="paragraph" w:styleId="Corpsdetexte2">
    <w:name w:val="Body Text 2"/>
    <w:basedOn w:val="Normal"/>
    <w:rsid w:val="00271AE3"/>
    <w:pPr>
      <w:tabs>
        <w:tab w:val="left" w:pos="8040"/>
      </w:tabs>
      <w:jc w:val="both"/>
    </w:pPr>
  </w:style>
  <w:style w:type="paragraph" w:styleId="Corpsdetexte3">
    <w:name w:val="Body Text 3"/>
    <w:basedOn w:val="Normal"/>
    <w:rsid w:val="00271AE3"/>
    <w:pPr>
      <w:jc w:val="both"/>
    </w:pPr>
    <w:rPr>
      <w:sz w:val="22"/>
    </w:rPr>
  </w:style>
  <w:style w:type="character" w:styleId="Accentuation">
    <w:name w:val="Emphasis"/>
    <w:basedOn w:val="Policepardfaut"/>
    <w:qFormat/>
    <w:rsid w:val="002D5AEF"/>
    <w:rPr>
      <w:b/>
      <w:bCs/>
      <w:i w:val="0"/>
      <w:iCs w:val="0"/>
    </w:rPr>
  </w:style>
  <w:style w:type="character" w:styleId="Lienhypertexte">
    <w:name w:val="Hyperlink"/>
    <w:basedOn w:val="Policepardfaut"/>
    <w:rsid w:val="006B473C"/>
    <w:rPr>
      <w:color w:val="0000FF"/>
      <w:u w:val="single"/>
    </w:rPr>
  </w:style>
  <w:style w:type="character" w:styleId="Lienhypertextesuivivisit">
    <w:name w:val="FollowedHyperlink"/>
    <w:basedOn w:val="Policepardfaut"/>
    <w:rsid w:val="006B473C"/>
    <w:rPr>
      <w:color w:val="606420"/>
      <w:u w:val="single"/>
    </w:rPr>
  </w:style>
  <w:style w:type="character" w:customStyle="1" w:styleId="Titre3Car">
    <w:name w:val="Titre 3 Car"/>
    <w:basedOn w:val="Policepardfaut"/>
    <w:link w:val="Titre3"/>
    <w:rsid w:val="007E2A05"/>
    <w:rPr>
      <w:rFonts w:asciiTheme="majorHAnsi" w:eastAsiaTheme="majorEastAsia" w:hAnsiTheme="majorHAnsi" w:cstheme="majorBidi"/>
      <w:b/>
      <w:bCs/>
      <w:color w:val="4F81BD" w:themeColor="accent1"/>
      <w:sz w:val="24"/>
      <w:szCs w:val="24"/>
    </w:rPr>
  </w:style>
  <w:style w:type="paragraph" w:styleId="En-tte">
    <w:name w:val="header"/>
    <w:basedOn w:val="Normal"/>
    <w:link w:val="En-tteCar"/>
    <w:uiPriority w:val="99"/>
    <w:rsid w:val="007E2A05"/>
    <w:pPr>
      <w:tabs>
        <w:tab w:val="center" w:pos="4536"/>
        <w:tab w:val="right" w:pos="9072"/>
      </w:tabs>
    </w:pPr>
  </w:style>
  <w:style w:type="character" w:customStyle="1" w:styleId="En-tteCar">
    <w:name w:val="En-tête Car"/>
    <w:basedOn w:val="Policepardfaut"/>
    <w:link w:val="En-tte"/>
    <w:uiPriority w:val="99"/>
    <w:rsid w:val="007E2A05"/>
    <w:rPr>
      <w:sz w:val="24"/>
      <w:szCs w:val="24"/>
    </w:rPr>
  </w:style>
  <w:style w:type="character" w:customStyle="1" w:styleId="PieddepageCar">
    <w:name w:val="Pied de page Car"/>
    <w:basedOn w:val="Policepardfaut"/>
    <w:link w:val="Pieddepage"/>
    <w:uiPriority w:val="99"/>
    <w:rsid w:val="00041D94"/>
    <w:rPr>
      <w:sz w:val="24"/>
      <w:szCs w:val="24"/>
    </w:rPr>
  </w:style>
  <w:style w:type="table" w:styleId="Grilledutableau">
    <w:name w:val="Table Grid"/>
    <w:basedOn w:val="TableauNormal"/>
    <w:rsid w:val="00041D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04">
      <w:bodyDiv w:val="1"/>
      <w:marLeft w:val="0"/>
      <w:marRight w:val="0"/>
      <w:marTop w:val="0"/>
      <w:marBottom w:val="0"/>
      <w:divBdr>
        <w:top w:val="none" w:sz="0" w:space="0" w:color="auto"/>
        <w:left w:val="none" w:sz="0" w:space="0" w:color="auto"/>
        <w:bottom w:val="none" w:sz="0" w:space="0" w:color="auto"/>
        <w:right w:val="none" w:sz="0" w:space="0" w:color="auto"/>
      </w:divBdr>
    </w:div>
    <w:div w:id="375593754">
      <w:bodyDiv w:val="1"/>
      <w:marLeft w:val="0"/>
      <w:marRight w:val="0"/>
      <w:marTop w:val="0"/>
      <w:marBottom w:val="0"/>
      <w:divBdr>
        <w:top w:val="none" w:sz="0" w:space="0" w:color="auto"/>
        <w:left w:val="none" w:sz="0" w:space="0" w:color="auto"/>
        <w:bottom w:val="none" w:sz="0" w:space="0" w:color="auto"/>
        <w:right w:val="none" w:sz="0" w:space="0" w:color="auto"/>
      </w:divBdr>
    </w:div>
    <w:div w:id="864058149">
      <w:bodyDiv w:val="1"/>
      <w:marLeft w:val="0"/>
      <w:marRight w:val="0"/>
      <w:marTop w:val="0"/>
      <w:marBottom w:val="0"/>
      <w:divBdr>
        <w:top w:val="none" w:sz="0" w:space="0" w:color="auto"/>
        <w:left w:val="none" w:sz="0" w:space="0" w:color="auto"/>
        <w:bottom w:val="none" w:sz="0" w:space="0" w:color="auto"/>
        <w:right w:val="none" w:sz="0" w:space="0" w:color="auto"/>
      </w:divBdr>
    </w:div>
    <w:div w:id="942037948">
      <w:bodyDiv w:val="1"/>
      <w:marLeft w:val="0"/>
      <w:marRight w:val="0"/>
      <w:marTop w:val="0"/>
      <w:marBottom w:val="0"/>
      <w:divBdr>
        <w:top w:val="none" w:sz="0" w:space="0" w:color="auto"/>
        <w:left w:val="none" w:sz="0" w:space="0" w:color="auto"/>
        <w:bottom w:val="none" w:sz="0" w:space="0" w:color="auto"/>
        <w:right w:val="none" w:sz="0" w:space="0" w:color="auto"/>
      </w:divBdr>
    </w:div>
    <w:div w:id="1245650564">
      <w:bodyDiv w:val="1"/>
      <w:marLeft w:val="0"/>
      <w:marRight w:val="0"/>
      <w:marTop w:val="0"/>
      <w:marBottom w:val="0"/>
      <w:divBdr>
        <w:top w:val="none" w:sz="0" w:space="0" w:color="auto"/>
        <w:left w:val="none" w:sz="0" w:space="0" w:color="auto"/>
        <w:bottom w:val="none" w:sz="0" w:space="0" w:color="auto"/>
        <w:right w:val="none" w:sz="0" w:space="0" w:color="auto"/>
      </w:divBdr>
    </w:div>
    <w:div w:id="1310939130">
      <w:bodyDiv w:val="1"/>
      <w:marLeft w:val="0"/>
      <w:marRight w:val="0"/>
      <w:marTop w:val="0"/>
      <w:marBottom w:val="0"/>
      <w:divBdr>
        <w:top w:val="none" w:sz="0" w:space="0" w:color="auto"/>
        <w:left w:val="none" w:sz="0" w:space="0" w:color="auto"/>
        <w:bottom w:val="none" w:sz="0" w:space="0" w:color="auto"/>
        <w:right w:val="none" w:sz="0" w:space="0" w:color="auto"/>
      </w:divBdr>
    </w:div>
    <w:div w:id="1358002829">
      <w:bodyDiv w:val="1"/>
      <w:marLeft w:val="0"/>
      <w:marRight w:val="0"/>
      <w:marTop w:val="0"/>
      <w:marBottom w:val="0"/>
      <w:divBdr>
        <w:top w:val="none" w:sz="0" w:space="0" w:color="auto"/>
        <w:left w:val="none" w:sz="0" w:space="0" w:color="auto"/>
        <w:bottom w:val="none" w:sz="0" w:space="0" w:color="auto"/>
        <w:right w:val="none" w:sz="0" w:space="0" w:color="auto"/>
      </w:divBdr>
    </w:div>
    <w:div w:id="1362317215">
      <w:bodyDiv w:val="1"/>
      <w:marLeft w:val="0"/>
      <w:marRight w:val="0"/>
      <w:marTop w:val="0"/>
      <w:marBottom w:val="0"/>
      <w:divBdr>
        <w:top w:val="none" w:sz="0" w:space="0" w:color="auto"/>
        <w:left w:val="none" w:sz="0" w:space="0" w:color="auto"/>
        <w:bottom w:val="none" w:sz="0" w:space="0" w:color="auto"/>
        <w:right w:val="none" w:sz="0" w:space="0" w:color="auto"/>
      </w:divBdr>
    </w:div>
    <w:div w:id="1505626127">
      <w:bodyDiv w:val="1"/>
      <w:marLeft w:val="0"/>
      <w:marRight w:val="0"/>
      <w:marTop w:val="0"/>
      <w:marBottom w:val="0"/>
      <w:divBdr>
        <w:top w:val="none" w:sz="0" w:space="0" w:color="auto"/>
        <w:left w:val="none" w:sz="0" w:space="0" w:color="auto"/>
        <w:bottom w:val="none" w:sz="0" w:space="0" w:color="auto"/>
        <w:right w:val="none" w:sz="0" w:space="0" w:color="auto"/>
      </w:divBdr>
    </w:div>
    <w:div w:id="1852791256">
      <w:bodyDiv w:val="1"/>
      <w:marLeft w:val="0"/>
      <w:marRight w:val="0"/>
      <w:marTop w:val="0"/>
      <w:marBottom w:val="0"/>
      <w:divBdr>
        <w:top w:val="none" w:sz="0" w:space="0" w:color="auto"/>
        <w:left w:val="none" w:sz="0" w:space="0" w:color="auto"/>
        <w:bottom w:val="none" w:sz="0" w:space="0" w:color="auto"/>
        <w:right w:val="none" w:sz="0" w:space="0" w:color="auto"/>
      </w:divBdr>
    </w:div>
    <w:div w:id="1896963568">
      <w:bodyDiv w:val="1"/>
      <w:marLeft w:val="0"/>
      <w:marRight w:val="0"/>
      <w:marTop w:val="0"/>
      <w:marBottom w:val="0"/>
      <w:divBdr>
        <w:top w:val="none" w:sz="0" w:space="0" w:color="auto"/>
        <w:left w:val="none" w:sz="0" w:space="0" w:color="auto"/>
        <w:bottom w:val="none" w:sz="0" w:space="0" w:color="auto"/>
        <w:right w:val="none" w:sz="0" w:space="0" w:color="auto"/>
      </w:divBdr>
    </w:div>
    <w:div w:id="196523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s.org/statistics/consbankstatsguide.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nque-france.fr/fr/statistiques/activite/activite-bancaire.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is.org/statistics/consstats.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1470-sfi-ut@banque-france.fr"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1470-sfi-ut@banque-france.fr"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mailto:1470-sfi-ut@banque-france.fr"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8DB88-AF81-4AE1-90FF-24CEABBE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3E2C50F5.dotm</Template>
  <TotalTime>0</TotalTime>
  <Pages>3</Pages>
  <Words>1061</Words>
  <Characters>5836</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lpstr>
    </vt:vector>
  </TitlesOfParts>
  <Company>Banque de France</Company>
  <LinksUpToDate>false</LinksUpToDate>
  <CharactersWithSpaces>6884</CharactersWithSpaces>
  <SharedDoc>false</SharedDoc>
  <HLinks>
    <vt:vector size="24" baseType="variant">
      <vt:variant>
        <vt:i4>589832</vt:i4>
      </vt:variant>
      <vt:variant>
        <vt:i4>6</vt:i4>
      </vt:variant>
      <vt:variant>
        <vt:i4>0</vt:i4>
      </vt:variant>
      <vt:variant>
        <vt:i4>5</vt:i4>
      </vt:variant>
      <vt:variant>
        <vt:lpwstr>http://www.bis.org/statistics/consbankstatsguide.htm</vt:lpwstr>
      </vt:variant>
      <vt:variant>
        <vt:lpwstr/>
      </vt:variant>
      <vt:variant>
        <vt:i4>589946</vt:i4>
      </vt:variant>
      <vt:variant>
        <vt:i4>3</vt:i4>
      </vt:variant>
      <vt:variant>
        <vt:i4>0</vt:i4>
      </vt:variant>
      <vt:variant>
        <vt:i4>5</vt:i4>
      </vt:variant>
      <vt:variant>
        <vt:lpwstr>http://www.banque-france.fr/fr/stat_conjoncture/balance/activfin/paiement5b.htm</vt:lpwstr>
      </vt:variant>
      <vt:variant>
        <vt:lpwstr/>
      </vt:variant>
      <vt:variant>
        <vt:i4>3604519</vt:i4>
      </vt:variant>
      <vt:variant>
        <vt:i4>0</vt:i4>
      </vt:variant>
      <vt:variant>
        <vt:i4>0</vt:i4>
      </vt:variant>
      <vt:variant>
        <vt:i4>5</vt:i4>
      </vt:variant>
      <vt:variant>
        <vt:lpwstr>http://www.bis.org/statistics/consstats.htm</vt:lpwstr>
      </vt:variant>
      <vt:variant>
        <vt:lpwstr/>
      </vt:variant>
      <vt:variant>
        <vt:i4>2752571</vt:i4>
      </vt:variant>
      <vt:variant>
        <vt:i4>0</vt:i4>
      </vt:variant>
      <vt:variant>
        <vt:i4>0</vt:i4>
      </vt:variant>
      <vt:variant>
        <vt:i4>5</vt:i4>
      </vt:variant>
      <vt:variant>
        <vt:lpwstr>http://www.banque-france.fr/fr/stat_conjoncture/telechar/publi/new_metho.pdf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OUNG</dc:creator>
  <cp:lastModifiedBy>Rafal ROGALSKI</cp:lastModifiedBy>
  <cp:revision>2</cp:revision>
  <cp:lastPrinted>2009-09-04T13:44:00Z</cp:lastPrinted>
  <dcterms:created xsi:type="dcterms:W3CDTF">2016-12-06T13:41:00Z</dcterms:created>
  <dcterms:modified xsi:type="dcterms:W3CDTF">2016-12-06T13:41:00Z</dcterms:modified>
</cp:coreProperties>
</file>